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B4768" w14:textId="1062FEA2" w:rsidR="00602360" w:rsidRDefault="004C4DC8">
      <w:pPr>
        <w:pStyle w:val="CRCoverPage"/>
        <w:tabs>
          <w:tab w:val="right" w:pos="9639"/>
        </w:tabs>
        <w:spacing w:after="0"/>
        <w:jc w:val="both"/>
      </w:pPr>
      <w:r w:rsidRPr="000146D9">
        <w:rPr>
          <w:rFonts w:cs="Arial"/>
          <w:b/>
          <w:szCs w:val="24"/>
          <w:lang w:val="en-US"/>
        </w:rPr>
        <w:t>3GPP TSG RAN Meeting #</w:t>
      </w:r>
      <w:r w:rsidR="00B90F94" w:rsidRPr="000146D9">
        <w:rPr>
          <w:rFonts w:cs="Arial"/>
          <w:b/>
          <w:szCs w:val="24"/>
          <w:lang w:val="en-US"/>
        </w:rPr>
        <w:t>82</w:t>
      </w:r>
      <w:r w:rsidR="0067761F" w:rsidRPr="000146D9">
        <w:rPr>
          <w:rFonts w:cs="Arial"/>
          <w:b/>
          <w:szCs w:val="24"/>
          <w:lang w:val="en-US"/>
        </w:rPr>
        <w:tab/>
      </w:r>
      <w:r w:rsidR="00A16D1A" w:rsidRPr="000146D9">
        <w:rPr>
          <w:rFonts w:eastAsia="宋体" w:cs="Arial"/>
          <w:b/>
          <w:szCs w:val="24"/>
          <w:lang w:val="en-US" w:eastAsia="zh-CN"/>
        </w:rPr>
        <w:t xml:space="preserve">     </w:t>
      </w:r>
      <w:r w:rsidR="00B90F94" w:rsidRPr="000146D9">
        <w:rPr>
          <w:rFonts w:eastAsia="宋体" w:cs="Arial"/>
          <w:b/>
          <w:szCs w:val="24"/>
          <w:lang w:val="en-US" w:eastAsia="zh-CN"/>
        </w:rPr>
        <w:t>RP</w:t>
      </w:r>
      <w:r w:rsidR="002D79EE" w:rsidRPr="000146D9">
        <w:rPr>
          <w:rFonts w:eastAsia="宋体" w:cs="Arial"/>
          <w:b/>
          <w:szCs w:val="24"/>
          <w:lang w:val="en-US" w:eastAsia="zh-CN"/>
        </w:rPr>
        <w:t>-18</w:t>
      </w:r>
      <w:r w:rsidR="00397AD4">
        <w:rPr>
          <w:rFonts w:eastAsia="宋体" w:cs="Arial"/>
          <w:b/>
          <w:szCs w:val="24"/>
          <w:lang w:val="en-US" w:eastAsia="zh-CN"/>
        </w:rPr>
        <w:t>2471</w:t>
      </w:r>
    </w:p>
    <w:p w14:paraId="05FF61BD" w14:textId="5CA3F041" w:rsidR="00602360" w:rsidRDefault="00B90F94">
      <w:pPr>
        <w:pStyle w:val="Header"/>
        <w:jc w:val="both"/>
      </w:pPr>
      <w:r w:rsidRPr="008066DC">
        <w:rPr>
          <w:rFonts w:eastAsia="宋体" w:cs="Arial"/>
          <w:sz w:val="24"/>
          <w:lang w:eastAsia="zh-CN"/>
        </w:rPr>
        <w:t>So</w:t>
      </w:r>
      <w:r w:rsidR="000146D9" w:rsidRPr="008066DC">
        <w:rPr>
          <w:rFonts w:eastAsia="宋体" w:cs="Arial"/>
          <w:sz w:val="24"/>
          <w:lang w:eastAsia="zh-CN"/>
        </w:rPr>
        <w:t>r</w:t>
      </w:r>
      <w:r w:rsidRPr="008066DC">
        <w:rPr>
          <w:rFonts w:eastAsia="宋体" w:cs="Arial"/>
          <w:sz w:val="24"/>
          <w:lang w:eastAsia="zh-CN"/>
        </w:rPr>
        <w:t>rento</w:t>
      </w:r>
      <w:r w:rsidR="004C4DC8" w:rsidRPr="008066DC">
        <w:rPr>
          <w:rFonts w:eastAsia="宋体" w:cs="Arial"/>
          <w:sz w:val="24"/>
          <w:lang w:eastAsia="zh-CN"/>
        </w:rPr>
        <w:t xml:space="preserve">, </w:t>
      </w:r>
      <w:r w:rsidRPr="008066DC">
        <w:rPr>
          <w:rFonts w:eastAsia="宋体" w:cs="Arial"/>
          <w:sz w:val="24"/>
          <w:lang w:eastAsia="zh-CN"/>
        </w:rPr>
        <w:t>Italy</w:t>
      </w:r>
      <w:r w:rsidR="004C4DC8" w:rsidRPr="008066DC">
        <w:rPr>
          <w:rFonts w:eastAsia="宋体" w:cs="Arial"/>
          <w:sz w:val="24"/>
          <w:lang w:eastAsia="zh-CN"/>
        </w:rPr>
        <w:t xml:space="preserve">, </w:t>
      </w:r>
      <w:r w:rsidRPr="008066DC">
        <w:rPr>
          <w:rFonts w:eastAsia="宋体" w:cs="Arial"/>
          <w:sz w:val="24"/>
          <w:lang w:eastAsia="zh-CN"/>
        </w:rPr>
        <w:t>December</w:t>
      </w:r>
      <w:r w:rsidR="004C4DC8" w:rsidRPr="008066DC">
        <w:rPr>
          <w:rFonts w:eastAsia="宋体" w:cs="Arial"/>
          <w:sz w:val="24"/>
          <w:lang w:eastAsia="zh-CN"/>
        </w:rPr>
        <w:t xml:space="preserve"> 1</w:t>
      </w:r>
      <w:r w:rsidRPr="008066DC">
        <w:rPr>
          <w:rFonts w:eastAsia="宋体" w:cs="Arial"/>
          <w:sz w:val="24"/>
          <w:lang w:eastAsia="zh-CN"/>
        </w:rPr>
        <w:t>0</w:t>
      </w:r>
      <w:r w:rsidR="004C4DC8" w:rsidRPr="008066DC">
        <w:rPr>
          <w:rFonts w:eastAsia="宋体" w:cs="Arial"/>
          <w:sz w:val="24"/>
          <w:lang w:eastAsia="zh-CN"/>
        </w:rPr>
        <w:t>-1</w:t>
      </w:r>
      <w:r w:rsidRPr="008066DC">
        <w:rPr>
          <w:rFonts w:eastAsia="宋体" w:cs="Arial"/>
          <w:sz w:val="24"/>
          <w:lang w:eastAsia="zh-CN"/>
        </w:rPr>
        <w:t>3</w:t>
      </w:r>
      <w:r w:rsidR="0067761F" w:rsidRPr="008066DC">
        <w:rPr>
          <w:rFonts w:eastAsia="宋体" w:cs="Arial"/>
          <w:sz w:val="24"/>
          <w:lang w:eastAsia="zh-CN"/>
        </w:rPr>
        <w:t>, 2018</w:t>
      </w:r>
    </w:p>
    <w:p w14:paraId="2CB8C183" w14:textId="6C3B4365" w:rsidR="00602360" w:rsidRDefault="0067761F">
      <w:pPr>
        <w:pBdr>
          <w:bottom w:val="single" w:sz="12" w:space="1" w:color="00000A"/>
        </w:pBdr>
        <w:tabs>
          <w:tab w:val="left" w:pos="1985"/>
        </w:tabs>
        <w:spacing w:before="62" w:after="62"/>
        <w:jc w:val="both"/>
      </w:pPr>
      <w:r>
        <w:rPr>
          <w:rFonts w:ascii="Arial" w:hAnsi="Arial" w:cs="Arial"/>
          <w:b/>
        </w:rPr>
        <w:t>Agenda Item:</w:t>
      </w:r>
      <w:bookmarkStart w:id="0" w:name="Source"/>
      <w:bookmarkEnd w:id="0"/>
      <w:r w:rsidR="000A61B8">
        <w:rPr>
          <w:rFonts w:ascii="Arial" w:hAnsi="Arial" w:cs="Arial"/>
          <w:b/>
        </w:rPr>
        <w:tab/>
      </w:r>
      <w:r w:rsidR="00B055C8">
        <w:rPr>
          <w:rFonts w:ascii="Arial" w:hAnsi="Arial" w:cs="Arial"/>
          <w:b/>
        </w:rPr>
        <w:t>9</w:t>
      </w:r>
      <w:r w:rsidR="000A61B8">
        <w:rPr>
          <w:rFonts w:ascii="Arial" w:hAnsi="Arial" w:cs="Arial"/>
          <w:b/>
        </w:rPr>
        <w:t>.</w:t>
      </w:r>
      <w:r w:rsidR="00B055C8">
        <w:rPr>
          <w:rFonts w:ascii="Arial" w:hAnsi="Arial" w:cs="Arial"/>
          <w:b/>
        </w:rPr>
        <w:t>1</w:t>
      </w:r>
      <w:r w:rsidR="000A61B8">
        <w:rPr>
          <w:rFonts w:ascii="Arial" w:hAnsi="Arial" w:cs="Arial"/>
          <w:b/>
        </w:rPr>
        <w:t>.</w:t>
      </w:r>
      <w:r w:rsidR="00B055C8">
        <w:rPr>
          <w:rFonts w:ascii="Arial" w:hAnsi="Arial" w:cs="Arial"/>
          <w:b/>
        </w:rPr>
        <w:t>1</w:t>
      </w:r>
      <w:bookmarkStart w:id="1" w:name="_GoBack"/>
      <w:bookmarkEnd w:id="1"/>
    </w:p>
    <w:p w14:paraId="46E48C71" w14:textId="0C590CF4" w:rsidR="00602360" w:rsidRDefault="0067761F">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sidR="00B90F94">
        <w:rPr>
          <w:rFonts w:ascii="Arial" w:hAnsi="Arial" w:cs="Arial"/>
          <w:b/>
          <w:lang w:eastAsia="ja-JP"/>
        </w:rPr>
        <w:t>Z</w:t>
      </w:r>
      <w:r w:rsidR="00C36DDE">
        <w:rPr>
          <w:rFonts w:ascii="Arial" w:hAnsi="Arial" w:cs="Arial"/>
          <w:b/>
          <w:lang w:eastAsia="ja-JP"/>
        </w:rPr>
        <w:t>TE</w:t>
      </w:r>
      <w:r w:rsidR="00B90F94">
        <w:rPr>
          <w:rFonts w:ascii="Arial" w:hAnsi="Arial" w:cs="Arial"/>
          <w:b/>
          <w:lang w:eastAsia="ja-JP"/>
        </w:rPr>
        <w:t>,</w:t>
      </w:r>
      <w:r w:rsidR="00B90F94" w:rsidRPr="00B90F94">
        <w:rPr>
          <w:rFonts w:ascii="Arial" w:hAnsi="Arial" w:cs="Arial"/>
          <w:b/>
          <w:lang w:eastAsia="ja-JP"/>
        </w:rPr>
        <w:t xml:space="preserve"> </w:t>
      </w:r>
      <w:r w:rsidR="00B90F94">
        <w:rPr>
          <w:rFonts w:ascii="Arial" w:hAnsi="Arial" w:cs="Arial"/>
          <w:b/>
          <w:lang w:eastAsia="ja-JP"/>
        </w:rPr>
        <w:t>Hughes,</w:t>
      </w:r>
      <w:r w:rsidR="00260AE0">
        <w:rPr>
          <w:rFonts w:ascii="Arial" w:hAnsi="Arial" w:cs="Arial"/>
          <w:b/>
          <w:lang w:eastAsia="ja-JP"/>
        </w:rPr>
        <w:t xml:space="preserve"> </w:t>
      </w:r>
      <w:proofErr w:type="spellStart"/>
      <w:r w:rsidR="00B90F94">
        <w:rPr>
          <w:rFonts w:ascii="Arial" w:hAnsi="Arial" w:cs="Arial"/>
          <w:b/>
          <w:lang w:eastAsia="ja-JP"/>
        </w:rPr>
        <w:t>Fraunhofer</w:t>
      </w:r>
      <w:proofErr w:type="spellEnd"/>
      <w:r w:rsidR="00655A14">
        <w:rPr>
          <w:rFonts w:ascii="Arial" w:hAnsi="Arial" w:cs="Arial"/>
          <w:b/>
          <w:lang w:eastAsia="ja-JP"/>
        </w:rPr>
        <w:t xml:space="preserve"> HHI, </w:t>
      </w:r>
      <w:proofErr w:type="spellStart"/>
      <w:r w:rsidR="00655A14">
        <w:rPr>
          <w:rFonts w:ascii="Arial" w:hAnsi="Arial" w:cs="Arial"/>
          <w:b/>
          <w:lang w:eastAsia="ja-JP"/>
        </w:rPr>
        <w:t>Fraunhofer</w:t>
      </w:r>
      <w:proofErr w:type="spellEnd"/>
      <w:r w:rsidR="00655A14">
        <w:rPr>
          <w:rFonts w:ascii="Arial" w:hAnsi="Arial" w:cs="Arial"/>
          <w:b/>
          <w:lang w:eastAsia="ja-JP"/>
        </w:rPr>
        <w:t xml:space="preserve"> IIS</w:t>
      </w:r>
    </w:p>
    <w:p w14:paraId="48EC9A53" w14:textId="39D02E40" w:rsidR="00602360" w:rsidRDefault="0067761F">
      <w:pPr>
        <w:pBdr>
          <w:bottom w:val="single" w:sz="12" w:space="1" w:color="00000A"/>
        </w:pBdr>
        <w:tabs>
          <w:tab w:val="left" w:pos="1985"/>
        </w:tabs>
        <w:spacing w:before="62" w:after="62"/>
        <w:ind w:left="1983" w:hanging="1983"/>
        <w:jc w:val="both"/>
      </w:pPr>
      <w:r>
        <w:rPr>
          <w:rFonts w:ascii="Arial" w:hAnsi="Arial" w:cs="Arial"/>
          <w:b/>
        </w:rPr>
        <w:t xml:space="preserve">Title:                 </w:t>
      </w:r>
      <w:r w:rsidR="009B1DBD">
        <w:rPr>
          <w:rFonts w:ascii="Arial" w:hAnsi="Arial" w:cs="Arial"/>
          <w:b/>
        </w:rPr>
        <w:t xml:space="preserve">  </w:t>
      </w:r>
      <w:r w:rsidR="008D4F64">
        <w:rPr>
          <w:rFonts w:ascii="Arial" w:hAnsi="Arial" w:cs="Arial"/>
          <w:b/>
        </w:rPr>
        <w:t xml:space="preserve"> </w:t>
      </w:r>
      <w:r w:rsidR="009B1DBD">
        <w:rPr>
          <w:rFonts w:ascii="Arial" w:hAnsi="Arial" w:cs="Arial"/>
          <w:b/>
        </w:rPr>
        <w:t xml:space="preserve"> </w:t>
      </w:r>
      <w:r w:rsidR="00B90F94">
        <w:rPr>
          <w:rFonts w:ascii="Arial" w:hAnsi="Arial" w:cs="Arial"/>
          <w:b/>
        </w:rPr>
        <w:t>Consideration on NOMA for NTN</w:t>
      </w:r>
    </w:p>
    <w:p w14:paraId="37E942BC" w14:textId="77777777" w:rsidR="00602360" w:rsidRDefault="0067761F">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宋体" w:hAnsi="Arial" w:cs="Arial"/>
          <w:b/>
          <w:lang w:eastAsia="zh-CN"/>
        </w:rPr>
        <w:t xml:space="preserve">Discussion </w:t>
      </w:r>
    </w:p>
    <w:p w14:paraId="0AB2054F" w14:textId="77777777" w:rsidR="000A61B8" w:rsidRPr="005D3FA4" w:rsidRDefault="0067761F" w:rsidP="00A2449D">
      <w:pPr>
        <w:pStyle w:val="Heading1"/>
        <w:numPr>
          <w:ilvl w:val="0"/>
          <w:numId w:val="2"/>
        </w:numPr>
        <w:spacing w:before="120"/>
        <w:ind w:left="0" w:firstLine="0"/>
        <w:rPr>
          <w:b/>
          <w:sz w:val="24"/>
          <w:lang w:eastAsia="ko-KR"/>
        </w:rPr>
      </w:pPr>
      <w:r>
        <w:rPr>
          <w:b/>
          <w:sz w:val="24"/>
          <w:lang w:eastAsia="ko-KR"/>
        </w:rPr>
        <w:t>Introduction</w:t>
      </w:r>
    </w:p>
    <w:p w14:paraId="2BB35E18" w14:textId="7CE294BB" w:rsidR="00260AE0" w:rsidRDefault="00A41B83" w:rsidP="002B13C5">
      <w:pPr>
        <w:autoSpaceDE w:val="0"/>
        <w:autoSpaceDN w:val="0"/>
        <w:adjustRightInd w:val="0"/>
        <w:snapToGrid w:val="0"/>
        <w:spacing w:after="0"/>
        <w:rPr>
          <w:rFonts w:eastAsia="MS Mincho"/>
          <w:color w:val="auto"/>
          <w:sz w:val="20"/>
          <w:szCs w:val="20"/>
        </w:rPr>
      </w:pPr>
      <w:r>
        <w:rPr>
          <w:rFonts w:eastAsia="MS Mincho"/>
          <w:color w:val="auto"/>
          <w:sz w:val="20"/>
          <w:szCs w:val="20"/>
        </w:rPr>
        <w:t xml:space="preserve">The study for the NOMA techniques has been conducted with the conclusive report in </w:t>
      </w:r>
      <w:r w:rsidR="0000734B">
        <w:rPr>
          <w:rFonts w:eastAsia="MS Mincho"/>
          <w:color w:val="auto"/>
          <w:sz w:val="20"/>
          <w:szCs w:val="20"/>
        </w:rPr>
        <w:fldChar w:fldCharType="begin"/>
      </w:r>
      <w:r w:rsidR="0000734B">
        <w:rPr>
          <w:rFonts w:eastAsia="MS Mincho"/>
          <w:color w:val="auto"/>
          <w:sz w:val="20"/>
          <w:szCs w:val="20"/>
        </w:rPr>
        <w:instrText xml:space="preserve"> REF _Ref530677928 \r \h </w:instrText>
      </w:r>
      <w:r w:rsidR="0000734B">
        <w:rPr>
          <w:rFonts w:eastAsia="MS Mincho"/>
          <w:color w:val="auto"/>
          <w:sz w:val="20"/>
          <w:szCs w:val="20"/>
        </w:rPr>
      </w:r>
      <w:r w:rsidR="0000734B">
        <w:rPr>
          <w:rFonts w:eastAsia="MS Mincho"/>
          <w:color w:val="auto"/>
          <w:sz w:val="20"/>
          <w:szCs w:val="20"/>
        </w:rPr>
        <w:fldChar w:fldCharType="separate"/>
      </w:r>
      <w:r w:rsidR="0000734B">
        <w:rPr>
          <w:rFonts w:eastAsia="MS Mincho"/>
          <w:color w:val="auto"/>
          <w:sz w:val="20"/>
          <w:szCs w:val="20"/>
        </w:rPr>
        <w:t>[1]</w:t>
      </w:r>
      <w:r w:rsidR="0000734B">
        <w:rPr>
          <w:rFonts w:eastAsia="MS Mincho"/>
          <w:color w:val="auto"/>
          <w:sz w:val="20"/>
          <w:szCs w:val="20"/>
        </w:rPr>
        <w:fldChar w:fldCharType="end"/>
      </w:r>
      <w:r>
        <w:rPr>
          <w:rFonts w:eastAsia="MS Mincho"/>
          <w:color w:val="auto"/>
          <w:sz w:val="20"/>
          <w:szCs w:val="20"/>
        </w:rPr>
        <w:t xml:space="preserve">. In this SI, the </w:t>
      </w:r>
      <w:r w:rsidR="0052025F">
        <w:rPr>
          <w:rFonts w:eastAsia="MS Mincho"/>
          <w:color w:val="auto"/>
          <w:sz w:val="20"/>
          <w:szCs w:val="20"/>
        </w:rPr>
        <w:t>feasibility</w:t>
      </w:r>
      <w:r>
        <w:rPr>
          <w:rFonts w:eastAsia="MS Mincho"/>
          <w:color w:val="auto"/>
          <w:sz w:val="20"/>
          <w:szCs w:val="20"/>
        </w:rPr>
        <w:t xml:space="preserve"> for supporting</w:t>
      </w:r>
      <w:r w:rsidR="00490583">
        <w:rPr>
          <w:rFonts w:eastAsia="MS Mincho"/>
          <w:color w:val="auto"/>
          <w:sz w:val="20"/>
          <w:szCs w:val="20"/>
        </w:rPr>
        <w:t xml:space="preserve"> UL transmission with</w:t>
      </w:r>
      <w:r>
        <w:rPr>
          <w:rFonts w:eastAsia="MS Mincho"/>
          <w:color w:val="auto"/>
          <w:sz w:val="20"/>
          <w:szCs w:val="20"/>
        </w:rPr>
        <w:t xml:space="preserve"> massive connection in both synchronous and asynchronous </w:t>
      </w:r>
      <w:r w:rsidR="00A512B1">
        <w:rPr>
          <w:rFonts w:eastAsia="MS Mincho"/>
          <w:color w:val="auto"/>
          <w:sz w:val="20"/>
          <w:szCs w:val="20"/>
        </w:rPr>
        <w:t>cases</w:t>
      </w:r>
      <w:r>
        <w:rPr>
          <w:rFonts w:eastAsia="MS Mincho"/>
          <w:color w:val="auto"/>
          <w:sz w:val="20"/>
          <w:szCs w:val="20"/>
        </w:rPr>
        <w:t xml:space="preserve"> have been verified. </w:t>
      </w:r>
      <w:r w:rsidR="00C40B1B">
        <w:rPr>
          <w:rFonts w:eastAsia="MS Mincho"/>
          <w:color w:val="auto"/>
          <w:sz w:val="20"/>
          <w:szCs w:val="20"/>
        </w:rPr>
        <w:t xml:space="preserve">Meanwhile, </w:t>
      </w:r>
      <w:r w:rsidR="005B0071">
        <w:rPr>
          <w:rFonts w:eastAsia="MS Mincho"/>
          <w:color w:val="auto"/>
          <w:sz w:val="20"/>
          <w:szCs w:val="20"/>
        </w:rPr>
        <w:t xml:space="preserve">except for the study on terrestrial network, </w:t>
      </w:r>
      <w:r w:rsidR="00C40B1B">
        <w:rPr>
          <w:rFonts w:eastAsia="MS Mincho"/>
          <w:color w:val="auto"/>
          <w:sz w:val="20"/>
          <w:szCs w:val="20"/>
        </w:rPr>
        <w:t>a</w:t>
      </w:r>
      <w:r w:rsidR="0052025F">
        <w:rPr>
          <w:rFonts w:eastAsia="MS Mincho"/>
          <w:color w:val="auto"/>
          <w:sz w:val="20"/>
          <w:szCs w:val="20"/>
        </w:rPr>
        <w:t xml:space="preserve">s discussed in </w:t>
      </w:r>
      <w:r w:rsidR="0000734B">
        <w:rPr>
          <w:rFonts w:eastAsia="MS Mincho"/>
          <w:color w:val="auto"/>
          <w:sz w:val="20"/>
          <w:szCs w:val="20"/>
        </w:rPr>
        <w:fldChar w:fldCharType="begin"/>
      </w:r>
      <w:r w:rsidR="0000734B">
        <w:rPr>
          <w:rFonts w:eastAsia="MS Mincho"/>
          <w:color w:val="auto"/>
          <w:sz w:val="20"/>
          <w:szCs w:val="20"/>
        </w:rPr>
        <w:instrText xml:space="preserve"> REF _Ref530678022 \r \h </w:instrText>
      </w:r>
      <w:r w:rsidR="0000734B">
        <w:rPr>
          <w:rFonts w:eastAsia="MS Mincho"/>
          <w:color w:val="auto"/>
          <w:sz w:val="20"/>
          <w:szCs w:val="20"/>
        </w:rPr>
      </w:r>
      <w:r w:rsidR="0000734B">
        <w:rPr>
          <w:rFonts w:eastAsia="MS Mincho"/>
          <w:color w:val="auto"/>
          <w:sz w:val="20"/>
          <w:szCs w:val="20"/>
        </w:rPr>
        <w:fldChar w:fldCharType="separate"/>
      </w:r>
      <w:r w:rsidR="0000734B">
        <w:rPr>
          <w:rFonts w:eastAsia="MS Mincho"/>
          <w:color w:val="auto"/>
          <w:sz w:val="20"/>
          <w:szCs w:val="20"/>
        </w:rPr>
        <w:t>[2]</w:t>
      </w:r>
      <w:r w:rsidR="0000734B">
        <w:rPr>
          <w:rFonts w:eastAsia="MS Mincho"/>
          <w:color w:val="auto"/>
          <w:sz w:val="20"/>
          <w:szCs w:val="20"/>
        </w:rPr>
        <w:fldChar w:fldCharType="end"/>
      </w:r>
      <w:r w:rsidR="0052025F">
        <w:rPr>
          <w:rFonts w:eastAsia="MS Mincho"/>
          <w:color w:val="auto"/>
          <w:sz w:val="20"/>
          <w:szCs w:val="20"/>
        </w:rPr>
        <w:t xml:space="preserve">, considering the </w:t>
      </w:r>
      <w:r w:rsidR="0086227E">
        <w:rPr>
          <w:rFonts w:eastAsia="MS Mincho"/>
          <w:color w:val="auto"/>
          <w:sz w:val="20"/>
          <w:szCs w:val="20"/>
        </w:rPr>
        <w:t xml:space="preserve">following </w:t>
      </w:r>
      <w:r w:rsidR="0052025F">
        <w:rPr>
          <w:rFonts w:eastAsia="MS Mincho"/>
          <w:color w:val="auto"/>
          <w:sz w:val="20"/>
          <w:szCs w:val="20"/>
        </w:rPr>
        <w:t>intrinsic characteristics of satellite communication,</w:t>
      </w:r>
      <w:r w:rsidR="00260AE0">
        <w:rPr>
          <w:rFonts w:eastAsia="MS Mincho"/>
          <w:color w:val="auto"/>
          <w:sz w:val="20"/>
          <w:szCs w:val="20"/>
        </w:rPr>
        <w:t xml:space="preserve"> </w:t>
      </w:r>
      <w:r w:rsidR="0086227E">
        <w:rPr>
          <w:rFonts w:eastAsia="MS Mincho"/>
          <w:color w:val="auto"/>
          <w:sz w:val="20"/>
          <w:szCs w:val="20"/>
        </w:rPr>
        <w:t>obvious benefits of NOMA techniques</w:t>
      </w:r>
      <w:r w:rsidR="0086227E" w:rsidRPr="0086227E">
        <w:rPr>
          <w:rFonts w:eastAsia="MS Mincho"/>
          <w:color w:val="auto"/>
          <w:sz w:val="20"/>
          <w:szCs w:val="20"/>
        </w:rPr>
        <w:t xml:space="preserve"> </w:t>
      </w:r>
      <w:r w:rsidR="0086227E">
        <w:rPr>
          <w:rFonts w:eastAsia="MS Mincho"/>
          <w:color w:val="auto"/>
          <w:sz w:val="20"/>
          <w:szCs w:val="20"/>
        </w:rPr>
        <w:t>can be foreseen with for</w:t>
      </w:r>
      <w:r w:rsidR="0086227E" w:rsidRPr="0052025F">
        <w:rPr>
          <w:rFonts w:eastAsia="MS Mincho"/>
          <w:color w:val="auto"/>
          <w:sz w:val="20"/>
          <w:szCs w:val="20"/>
        </w:rPr>
        <w:t xml:space="preserve"> </w:t>
      </w:r>
      <w:r w:rsidR="0086227E">
        <w:rPr>
          <w:rFonts w:eastAsia="MS Mincho"/>
          <w:color w:val="auto"/>
          <w:sz w:val="20"/>
          <w:szCs w:val="20"/>
        </w:rPr>
        <w:t>non-terrestrial network communication</w:t>
      </w:r>
      <w:r w:rsidR="005B0071">
        <w:rPr>
          <w:rFonts w:eastAsia="MS Mincho"/>
          <w:color w:val="auto"/>
          <w:sz w:val="20"/>
          <w:szCs w:val="20"/>
        </w:rPr>
        <w:t xml:space="preserve"> </w:t>
      </w:r>
      <w:r w:rsidR="005B0071">
        <w:rPr>
          <w:rFonts w:eastAsia="MS Mincho"/>
          <w:color w:val="auto"/>
          <w:sz w:val="20"/>
          <w:szCs w:val="20"/>
        </w:rPr>
        <w:fldChar w:fldCharType="begin"/>
      </w:r>
      <w:r w:rsidR="005B0071">
        <w:rPr>
          <w:rFonts w:eastAsia="MS Mincho"/>
          <w:color w:val="auto"/>
          <w:sz w:val="20"/>
          <w:szCs w:val="20"/>
        </w:rPr>
        <w:instrText xml:space="preserve"> REF _Ref530678078 \r \h </w:instrText>
      </w:r>
      <w:r w:rsidR="005B0071">
        <w:rPr>
          <w:rFonts w:eastAsia="MS Mincho"/>
          <w:color w:val="auto"/>
          <w:sz w:val="20"/>
          <w:szCs w:val="20"/>
        </w:rPr>
      </w:r>
      <w:r w:rsidR="005B0071">
        <w:rPr>
          <w:rFonts w:eastAsia="MS Mincho"/>
          <w:color w:val="auto"/>
          <w:sz w:val="20"/>
          <w:szCs w:val="20"/>
        </w:rPr>
        <w:fldChar w:fldCharType="separate"/>
      </w:r>
      <w:r w:rsidR="005B0071">
        <w:rPr>
          <w:rFonts w:eastAsia="MS Mincho"/>
          <w:color w:val="auto"/>
          <w:sz w:val="20"/>
          <w:szCs w:val="20"/>
        </w:rPr>
        <w:t>[3]</w:t>
      </w:r>
      <w:r w:rsidR="005B0071">
        <w:rPr>
          <w:rFonts w:eastAsia="MS Mincho"/>
          <w:color w:val="auto"/>
          <w:sz w:val="20"/>
          <w:szCs w:val="20"/>
        </w:rPr>
        <w:fldChar w:fldCharType="end"/>
      </w:r>
      <w:r w:rsidR="0086227E">
        <w:rPr>
          <w:rFonts w:eastAsia="MS Mincho"/>
          <w:color w:val="auto"/>
          <w:sz w:val="20"/>
          <w:szCs w:val="20"/>
        </w:rPr>
        <w:t>.</w:t>
      </w:r>
    </w:p>
    <w:p w14:paraId="0E4AF858" w14:textId="1B2D8587" w:rsidR="00260AE0" w:rsidRDefault="00260AE0" w:rsidP="002B13C5">
      <w:pPr>
        <w:pStyle w:val="ListParagraph"/>
        <w:numPr>
          <w:ilvl w:val="0"/>
          <w:numId w:val="15"/>
        </w:numPr>
        <w:autoSpaceDE w:val="0"/>
        <w:autoSpaceDN w:val="0"/>
        <w:adjustRightInd w:val="0"/>
        <w:snapToGrid w:val="0"/>
        <w:spacing w:after="0"/>
        <w:rPr>
          <w:rFonts w:eastAsia="MS Mincho"/>
          <w:color w:val="auto"/>
          <w:sz w:val="20"/>
          <w:szCs w:val="20"/>
        </w:rPr>
      </w:pPr>
      <w:r>
        <w:rPr>
          <w:rFonts w:eastAsia="MS Mincho"/>
          <w:color w:val="auto"/>
          <w:sz w:val="20"/>
          <w:szCs w:val="20"/>
        </w:rPr>
        <w:t>Extensive coverage with much more UEs</w:t>
      </w:r>
    </w:p>
    <w:p w14:paraId="6D25F932" w14:textId="77777777" w:rsidR="00260AE0" w:rsidRPr="00A2449D" w:rsidRDefault="00260AE0" w:rsidP="002B13C5">
      <w:pPr>
        <w:pStyle w:val="ListParagraph"/>
        <w:numPr>
          <w:ilvl w:val="0"/>
          <w:numId w:val="15"/>
        </w:numPr>
        <w:autoSpaceDE w:val="0"/>
        <w:autoSpaceDN w:val="0"/>
        <w:adjustRightInd w:val="0"/>
        <w:snapToGrid w:val="0"/>
        <w:spacing w:after="0"/>
        <w:rPr>
          <w:rFonts w:eastAsia="MS Mincho"/>
          <w:color w:val="auto"/>
          <w:sz w:val="20"/>
          <w:szCs w:val="20"/>
        </w:rPr>
      </w:pPr>
      <w:r>
        <w:rPr>
          <w:rFonts w:eastAsia="MS Mincho"/>
          <w:color w:val="auto"/>
          <w:sz w:val="20"/>
          <w:szCs w:val="20"/>
        </w:rPr>
        <w:t xml:space="preserve">Large propagation delays </w:t>
      </w:r>
    </w:p>
    <w:p w14:paraId="7734CEBF" w14:textId="2B99F78D" w:rsidR="0052025F" w:rsidRDefault="0052025F" w:rsidP="00E27262">
      <w:pPr>
        <w:autoSpaceDE w:val="0"/>
        <w:autoSpaceDN w:val="0"/>
        <w:adjustRightInd w:val="0"/>
        <w:snapToGrid w:val="0"/>
        <w:spacing w:beforeLines="50" w:before="156" w:after="0"/>
        <w:rPr>
          <w:rFonts w:eastAsia="MS Mincho"/>
          <w:color w:val="auto"/>
          <w:sz w:val="20"/>
          <w:szCs w:val="20"/>
        </w:rPr>
      </w:pPr>
      <w:r>
        <w:rPr>
          <w:rFonts w:eastAsia="MS Mincho"/>
          <w:color w:val="auto"/>
          <w:sz w:val="20"/>
          <w:szCs w:val="20"/>
        </w:rPr>
        <w:t xml:space="preserve">In this contribution, the detailed justification on </w:t>
      </w:r>
      <w:r w:rsidR="004C0987">
        <w:rPr>
          <w:rFonts w:eastAsia="MS Mincho"/>
          <w:color w:val="auto"/>
          <w:sz w:val="20"/>
          <w:szCs w:val="20"/>
        </w:rPr>
        <w:t xml:space="preserve">the usage </w:t>
      </w:r>
      <w:r w:rsidR="00A76B42">
        <w:rPr>
          <w:rFonts w:eastAsia="MS Mincho"/>
          <w:color w:val="auto"/>
          <w:sz w:val="20"/>
          <w:szCs w:val="20"/>
        </w:rPr>
        <w:t>of</w:t>
      </w:r>
      <w:r w:rsidR="004C0987">
        <w:rPr>
          <w:rFonts w:eastAsia="MS Mincho"/>
          <w:color w:val="auto"/>
          <w:sz w:val="20"/>
          <w:szCs w:val="20"/>
        </w:rPr>
        <w:t xml:space="preserve"> NOMA in NTN </w:t>
      </w:r>
      <w:r>
        <w:rPr>
          <w:rFonts w:eastAsia="MS Mincho"/>
          <w:color w:val="auto"/>
          <w:sz w:val="20"/>
          <w:szCs w:val="20"/>
        </w:rPr>
        <w:t>is provided.</w:t>
      </w:r>
    </w:p>
    <w:p w14:paraId="35B8CA9E" w14:textId="582CB16D" w:rsidR="0052025F" w:rsidRDefault="00A45290" w:rsidP="0052025F">
      <w:pPr>
        <w:pStyle w:val="Heading1"/>
        <w:numPr>
          <w:ilvl w:val="0"/>
          <w:numId w:val="2"/>
        </w:numPr>
        <w:spacing w:before="120"/>
        <w:ind w:left="0" w:firstLine="0"/>
        <w:rPr>
          <w:b/>
          <w:sz w:val="24"/>
          <w:lang w:eastAsia="ko-KR"/>
        </w:rPr>
      </w:pPr>
      <w:r>
        <w:rPr>
          <w:b/>
          <w:sz w:val="24"/>
          <w:lang w:eastAsia="ko-KR"/>
        </w:rPr>
        <w:t>NOMA techniques for NTN</w:t>
      </w:r>
      <w:r w:rsidR="00095E01">
        <w:rPr>
          <w:b/>
          <w:sz w:val="24"/>
          <w:lang w:eastAsia="ko-KR"/>
        </w:rPr>
        <w:t xml:space="preserve"> application</w:t>
      </w:r>
    </w:p>
    <w:p w14:paraId="71F164A2" w14:textId="6A92475A" w:rsidR="00A45290" w:rsidRPr="00A2449D" w:rsidRDefault="00A45290" w:rsidP="00A45290">
      <w:pPr>
        <w:pStyle w:val="Heading1"/>
        <w:numPr>
          <w:ilvl w:val="1"/>
          <w:numId w:val="2"/>
        </w:numPr>
        <w:spacing w:before="120"/>
        <w:rPr>
          <w:b/>
          <w:sz w:val="24"/>
          <w:lang w:eastAsia="ko-KR"/>
        </w:rPr>
      </w:pPr>
      <w:r>
        <w:rPr>
          <w:b/>
          <w:sz w:val="24"/>
          <w:lang w:eastAsia="ko-KR"/>
        </w:rPr>
        <w:t xml:space="preserve">Massive connection for NTN application </w:t>
      </w:r>
    </w:p>
    <w:p w14:paraId="158E1C76" w14:textId="185B77BE" w:rsidR="00481501" w:rsidRDefault="00341B95" w:rsidP="002B13C5">
      <w:pPr>
        <w:autoSpaceDE w:val="0"/>
        <w:autoSpaceDN w:val="0"/>
        <w:adjustRightInd w:val="0"/>
        <w:snapToGrid w:val="0"/>
        <w:spacing w:after="0"/>
        <w:rPr>
          <w:rFonts w:eastAsia="MS Mincho"/>
          <w:color w:val="auto"/>
          <w:sz w:val="20"/>
          <w:szCs w:val="20"/>
        </w:rPr>
      </w:pPr>
      <w:r>
        <w:rPr>
          <w:rFonts w:eastAsia="MS Mincho"/>
          <w:color w:val="auto"/>
          <w:sz w:val="20"/>
          <w:szCs w:val="20"/>
        </w:rPr>
        <w:t xml:space="preserve">Generally, as mentioned in </w:t>
      </w:r>
      <w:r w:rsidR="0000734B">
        <w:rPr>
          <w:rFonts w:eastAsia="MS Mincho"/>
          <w:color w:val="auto"/>
          <w:sz w:val="20"/>
          <w:szCs w:val="20"/>
        </w:rPr>
        <w:fldChar w:fldCharType="begin"/>
      </w:r>
      <w:r w:rsidR="0000734B">
        <w:rPr>
          <w:rFonts w:eastAsia="MS Mincho"/>
          <w:color w:val="auto"/>
          <w:sz w:val="20"/>
          <w:szCs w:val="20"/>
        </w:rPr>
        <w:instrText xml:space="preserve"> REF _Ref530678078 \r \h </w:instrText>
      </w:r>
      <w:r w:rsidR="0000734B">
        <w:rPr>
          <w:rFonts w:eastAsia="MS Mincho"/>
          <w:color w:val="auto"/>
          <w:sz w:val="20"/>
          <w:szCs w:val="20"/>
        </w:rPr>
      </w:r>
      <w:r w:rsidR="0000734B">
        <w:rPr>
          <w:rFonts w:eastAsia="MS Mincho"/>
          <w:color w:val="auto"/>
          <w:sz w:val="20"/>
          <w:szCs w:val="20"/>
        </w:rPr>
        <w:fldChar w:fldCharType="separate"/>
      </w:r>
      <w:r w:rsidR="0000734B">
        <w:rPr>
          <w:rFonts w:eastAsia="MS Mincho"/>
          <w:color w:val="auto"/>
          <w:sz w:val="20"/>
          <w:szCs w:val="20"/>
        </w:rPr>
        <w:t>[3]</w:t>
      </w:r>
      <w:r w:rsidR="0000734B">
        <w:rPr>
          <w:rFonts w:eastAsia="MS Mincho"/>
          <w:color w:val="auto"/>
          <w:sz w:val="20"/>
          <w:szCs w:val="20"/>
        </w:rPr>
        <w:fldChar w:fldCharType="end"/>
      </w:r>
      <w:r w:rsidR="00260AE0" w:rsidRPr="00260AE0">
        <w:rPr>
          <w:rFonts w:eastAsia="MS Mincho"/>
          <w:color w:val="auto"/>
          <w:sz w:val="20"/>
          <w:szCs w:val="20"/>
        </w:rPr>
        <w:t>, the diameter of one NTN cell constructed by the foot-print of on</w:t>
      </w:r>
      <w:r w:rsidR="008E0378">
        <w:rPr>
          <w:rFonts w:eastAsia="MS Mincho"/>
          <w:color w:val="auto"/>
          <w:sz w:val="20"/>
          <w:szCs w:val="20"/>
        </w:rPr>
        <w:t xml:space="preserve">e beam, e.g., for </w:t>
      </w:r>
      <w:r w:rsidR="009D3749">
        <w:rPr>
          <w:rFonts w:eastAsia="MS Mincho"/>
          <w:color w:val="auto"/>
          <w:sz w:val="20"/>
          <w:szCs w:val="20"/>
        </w:rPr>
        <w:t xml:space="preserve">multi-beam satellites, including both </w:t>
      </w:r>
      <w:r w:rsidR="00EE6796">
        <w:rPr>
          <w:rFonts w:eastAsia="MS Mincho"/>
          <w:color w:val="auto"/>
          <w:sz w:val="20"/>
          <w:szCs w:val="20"/>
        </w:rPr>
        <w:t>geostationary earth orbit (</w:t>
      </w:r>
      <w:r w:rsidR="009D3749">
        <w:rPr>
          <w:rFonts w:eastAsia="MS Mincho"/>
          <w:color w:val="auto"/>
          <w:sz w:val="20"/>
          <w:szCs w:val="20"/>
        </w:rPr>
        <w:t>GEO</w:t>
      </w:r>
      <w:r w:rsidR="00EE6796">
        <w:rPr>
          <w:rFonts w:eastAsia="MS Mincho"/>
          <w:color w:val="auto"/>
          <w:sz w:val="20"/>
          <w:szCs w:val="20"/>
        </w:rPr>
        <w:t>)</w:t>
      </w:r>
      <w:r w:rsidR="009D3749">
        <w:rPr>
          <w:rFonts w:eastAsia="MS Mincho"/>
          <w:color w:val="auto"/>
          <w:sz w:val="20"/>
          <w:szCs w:val="20"/>
        </w:rPr>
        <w:t xml:space="preserve"> and </w:t>
      </w:r>
      <w:r w:rsidR="00EE6796">
        <w:rPr>
          <w:rFonts w:eastAsia="MS Mincho"/>
          <w:color w:val="auto"/>
          <w:sz w:val="20"/>
          <w:szCs w:val="20"/>
        </w:rPr>
        <w:t>low earth orbit (</w:t>
      </w:r>
      <w:r w:rsidR="008E0378">
        <w:rPr>
          <w:rFonts w:eastAsia="MS Mincho"/>
          <w:color w:val="auto"/>
          <w:sz w:val="20"/>
          <w:szCs w:val="20"/>
        </w:rPr>
        <w:t>LEO</w:t>
      </w:r>
      <w:r w:rsidR="00EE6796">
        <w:rPr>
          <w:rFonts w:eastAsia="MS Mincho"/>
          <w:color w:val="auto"/>
          <w:sz w:val="20"/>
          <w:szCs w:val="20"/>
        </w:rPr>
        <w:t>)</w:t>
      </w:r>
      <w:r w:rsidR="008E0378">
        <w:rPr>
          <w:rFonts w:eastAsia="MS Mincho"/>
          <w:color w:val="auto"/>
          <w:sz w:val="20"/>
          <w:szCs w:val="20"/>
        </w:rPr>
        <w:t xml:space="preserve">, </w:t>
      </w:r>
      <w:r w:rsidR="009D3749">
        <w:rPr>
          <w:rFonts w:eastAsia="MS Mincho"/>
          <w:color w:val="auto"/>
          <w:sz w:val="20"/>
          <w:szCs w:val="20"/>
        </w:rPr>
        <w:t>can</w:t>
      </w:r>
      <w:r w:rsidR="00260AE0" w:rsidRPr="00260AE0">
        <w:rPr>
          <w:rFonts w:eastAsia="MS Mincho"/>
          <w:color w:val="auto"/>
          <w:sz w:val="20"/>
          <w:szCs w:val="20"/>
        </w:rPr>
        <w:t xml:space="preserve"> be up to 400</w:t>
      </w:r>
      <w:r w:rsidR="000146D9">
        <w:rPr>
          <w:rFonts w:eastAsia="MS Mincho"/>
          <w:color w:val="auto"/>
          <w:sz w:val="20"/>
          <w:szCs w:val="20"/>
        </w:rPr>
        <w:t xml:space="preserve"> </w:t>
      </w:r>
      <w:r w:rsidR="00260AE0" w:rsidRPr="00260AE0">
        <w:rPr>
          <w:rFonts w:eastAsia="MS Mincho"/>
          <w:color w:val="auto"/>
          <w:sz w:val="20"/>
          <w:szCs w:val="20"/>
        </w:rPr>
        <w:t>km</w:t>
      </w:r>
      <w:r>
        <w:rPr>
          <w:rFonts w:eastAsia="MS Mincho"/>
          <w:color w:val="auto"/>
          <w:sz w:val="20"/>
          <w:szCs w:val="20"/>
        </w:rPr>
        <w:t>, which is much larger than the typical terrestrial cell. In this case, the number of UEs</w:t>
      </w:r>
      <w:r w:rsidR="008E0378">
        <w:rPr>
          <w:rFonts w:eastAsia="MS Mincho"/>
          <w:color w:val="auto"/>
          <w:sz w:val="20"/>
          <w:szCs w:val="20"/>
        </w:rPr>
        <w:t>, e.g., mobile UE or IoT device</w:t>
      </w:r>
      <w:r w:rsidR="009D3749">
        <w:rPr>
          <w:rFonts w:eastAsia="MS Mincho"/>
          <w:color w:val="auto"/>
          <w:sz w:val="20"/>
          <w:szCs w:val="20"/>
        </w:rPr>
        <w:t>s</w:t>
      </w:r>
      <w:r w:rsidR="008E0378">
        <w:rPr>
          <w:rFonts w:eastAsia="MS Mincho"/>
          <w:color w:val="auto"/>
          <w:sz w:val="20"/>
          <w:szCs w:val="20"/>
        </w:rPr>
        <w:t>,</w:t>
      </w:r>
      <w:r>
        <w:rPr>
          <w:rFonts w:eastAsia="MS Mincho"/>
          <w:color w:val="auto"/>
          <w:sz w:val="20"/>
          <w:szCs w:val="20"/>
        </w:rPr>
        <w:t xml:space="preserve"> </w:t>
      </w:r>
      <w:r w:rsidR="008E0378">
        <w:rPr>
          <w:rFonts w:eastAsia="MS Mincho"/>
          <w:color w:val="auto"/>
          <w:sz w:val="20"/>
          <w:szCs w:val="20"/>
        </w:rPr>
        <w:t>served</w:t>
      </w:r>
      <w:r>
        <w:rPr>
          <w:rFonts w:eastAsia="MS Mincho"/>
          <w:color w:val="auto"/>
          <w:sz w:val="20"/>
          <w:szCs w:val="20"/>
        </w:rPr>
        <w:t xml:space="preserve"> by one cell will </w:t>
      </w:r>
      <w:r w:rsidR="00715792">
        <w:rPr>
          <w:rFonts w:eastAsia="MS Mincho"/>
          <w:color w:val="auto"/>
          <w:sz w:val="20"/>
          <w:szCs w:val="20"/>
        </w:rPr>
        <w:t xml:space="preserve">also </w:t>
      </w:r>
      <w:r>
        <w:rPr>
          <w:rFonts w:eastAsia="MS Mincho"/>
          <w:color w:val="auto"/>
          <w:sz w:val="20"/>
          <w:szCs w:val="20"/>
        </w:rPr>
        <w:t xml:space="preserve">be </w:t>
      </w:r>
      <w:r w:rsidR="008E0378">
        <w:rPr>
          <w:rFonts w:eastAsia="MS Mincho"/>
          <w:color w:val="auto"/>
          <w:sz w:val="20"/>
          <w:szCs w:val="20"/>
        </w:rPr>
        <w:t>much larger</w:t>
      </w:r>
      <w:r w:rsidR="009D3749">
        <w:rPr>
          <w:rFonts w:eastAsia="MS Mincho"/>
          <w:color w:val="auto"/>
          <w:sz w:val="20"/>
          <w:szCs w:val="20"/>
        </w:rPr>
        <w:t xml:space="preserve"> than a typical terrestrial cell</w:t>
      </w:r>
      <w:r w:rsidR="008E0378">
        <w:rPr>
          <w:rFonts w:eastAsia="MS Mincho"/>
          <w:color w:val="auto"/>
          <w:sz w:val="20"/>
          <w:szCs w:val="20"/>
        </w:rPr>
        <w:t xml:space="preserve">. </w:t>
      </w:r>
      <w:r w:rsidR="00222D0E">
        <w:rPr>
          <w:rFonts w:eastAsia="MS Mincho"/>
          <w:color w:val="auto"/>
          <w:sz w:val="20"/>
          <w:szCs w:val="20"/>
        </w:rPr>
        <w:t xml:space="preserve">Moreover, </w:t>
      </w:r>
      <w:r w:rsidR="00715792">
        <w:rPr>
          <w:rFonts w:eastAsia="MS Mincho"/>
          <w:color w:val="auto"/>
          <w:sz w:val="20"/>
          <w:szCs w:val="20"/>
        </w:rPr>
        <w:t xml:space="preserve">considering the characteristic of </w:t>
      </w:r>
      <w:r w:rsidR="00222D0E">
        <w:rPr>
          <w:rFonts w:eastAsia="MS Mincho"/>
          <w:color w:val="auto"/>
          <w:sz w:val="20"/>
          <w:szCs w:val="20"/>
        </w:rPr>
        <w:t>typical use case of NTN application</w:t>
      </w:r>
      <w:r w:rsidR="009D3749">
        <w:rPr>
          <w:rFonts w:eastAsia="MS Mincho"/>
          <w:color w:val="auto"/>
          <w:sz w:val="20"/>
          <w:szCs w:val="20"/>
        </w:rPr>
        <w:t>s</w:t>
      </w:r>
      <w:r w:rsidR="00222D0E">
        <w:rPr>
          <w:rFonts w:eastAsia="MS Mincho"/>
          <w:color w:val="auto"/>
          <w:sz w:val="20"/>
          <w:szCs w:val="20"/>
        </w:rPr>
        <w:t xml:space="preserve">, </w:t>
      </w:r>
      <w:r w:rsidR="00481501">
        <w:rPr>
          <w:rFonts w:eastAsia="MS Mincho"/>
          <w:color w:val="auto"/>
          <w:sz w:val="20"/>
          <w:szCs w:val="20"/>
        </w:rPr>
        <w:t xml:space="preserve">e.g., </w:t>
      </w:r>
      <w:r w:rsidR="00481501">
        <w:rPr>
          <w:color w:val="000000"/>
          <w:sz w:val="20"/>
          <w:szCs w:val="20"/>
        </w:rPr>
        <w:t xml:space="preserve">internet </w:t>
      </w:r>
      <w:r w:rsidR="009D3749">
        <w:rPr>
          <w:color w:val="000000"/>
          <w:sz w:val="20"/>
          <w:szCs w:val="20"/>
        </w:rPr>
        <w:t xml:space="preserve">browsing </w:t>
      </w:r>
      <w:r w:rsidR="00481501">
        <w:rPr>
          <w:color w:val="000000"/>
          <w:sz w:val="20"/>
          <w:szCs w:val="20"/>
        </w:rPr>
        <w:t xml:space="preserve">application, </w:t>
      </w:r>
      <w:r w:rsidR="00222D0E" w:rsidRPr="00A2449D">
        <w:rPr>
          <w:color w:val="000000"/>
          <w:sz w:val="20"/>
          <w:szCs w:val="20"/>
        </w:rPr>
        <w:t xml:space="preserve">asset tracking, data </w:t>
      </w:r>
      <w:r w:rsidR="00481501">
        <w:rPr>
          <w:color w:val="000000"/>
          <w:sz w:val="20"/>
          <w:szCs w:val="20"/>
        </w:rPr>
        <w:t xml:space="preserve">sensing and </w:t>
      </w:r>
      <w:r w:rsidR="00222D0E" w:rsidRPr="00A2449D">
        <w:rPr>
          <w:color w:val="000000"/>
          <w:sz w:val="20"/>
          <w:szCs w:val="20"/>
        </w:rPr>
        <w:t>reporting</w:t>
      </w:r>
      <w:r w:rsidR="00481501" w:rsidRPr="00A2449D">
        <w:rPr>
          <w:color w:val="000000"/>
          <w:sz w:val="20"/>
          <w:szCs w:val="20"/>
        </w:rPr>
        <w:t>,</w:t>
      </w:r>
      <w:r w:rsidR="00481501">
        <w:rPr>
          <w:color w:val="000000"/>
          <w:sz w:val="20"/>
          <w:szCs w:val="20"/>
        </w:rPr>
        <w:t xml:space="preserve"> </w:t>
      </w:r>
      <w:r w:rsidR="00715792">
        <w:rPr>
          <w:color w:val="000000"/>
          <w:sz w:val="20"/>
          <w:szCs w:val="20"/>
        </w:rPr>
        <w:t xml:space="preserve">which </w:t>
      </w:r>
      <w:r w:rsidR="009D3749">
        <w:rPr>
          <w:color w:val="000000"/>
          <w:sz w:val="20"/>
          <w:szCs w:val="20"/>
        </w:rPr>
        <w:t>are</w:t>
      </w:r>
      <w:r w:rsidR="00481501">
        <w:rPr>
          <w:color w:val="000000"/>
          <w:sz w:val="20"/>
          <w:szCs w:val="20"/>
        </w:rPr>
        <w:t xml:space="preserve"> almost</w:t>
      </w:r>
      <w:r w:rsidR="009D3749">
        <w:rPr>
          <w:color w:val="000000"/>
          <w:sz w:val="20"/>
          <w:szCs w:val="20"/>
        </w:rPr>
        <w:t xml:space="preserve"> always</w:t>
      </w:r>
      <w:r w:rsidR="00481501">
        <w:rPr>
          <w:color w:val="000000"/>
          <w:sz w:val="20"/>
          <w:szCs w:val="20"/>
        </w:rPr>
        <w:t xml:space="preserve"> </w:t>
      </w:r>
      <w:r w:rsidR="00222D0E" w:rsidRPr="00A2449D">
        <w:rPr>
          <w:rFonts w:eastAsia="MS Mincho"/>
          <w:color w:val="auto"/>
          <w:sz w:val="20"/>
          <w:szCs w:val="20"/>
        </w:rPr>
        <w:t xml:space="preserve">triggered by </w:t>
      </w:r>
      <w:r w:rsidR="00481501">
        <w:rPr>
          <w:rFonts w:eastAsia="MS Mincho"/>
          <w:color w:val="auto"/>
          <w:sz w:val="20"/>
          <w:szCs w:val="20"/>
        </w:rPr>
        <w:t xml:space="preserve">sporadic </w:t>
      </w:r>
      <w:r w:rsidR="00222D0E" w:rsidRPr="00A2449D">
        <w:rPr>
          <w:rFonts w:eastAsia="MS Mincho"/>
          <w:color w:val="auto"/>
          <w:sz w:val="20"/>
          <w:szCs w:val="20"/>
        </w:rPr>
        <w:t>external event</w:t>
      </w:r>
      <w:r w:rsidR="00481501">
        <w:rPr>
          <w:rFonts w:eastAsia="MS Mincho"/>
          <w:color w:val="auto"/>
          <w:sz w:val="20"/>
          <w:szCs w:val="20"/>
        </w:rPr>
        <w:t>s, or periodic</w:t>
      </w:r>
      <w:r w:rsidR="009D3749">
        <w:rPr>
          <w:rFonts w:eastAsia="MS Mincho"/>
          <w:color w:val="auto"/>
          <w:sz w:val="20"/>
          <w:szCs w:val="20"/>
        </w:rPr>
        <w:t xml:space="preserve"> </w:t>
      </w:r>
      <w:r w:rsidR="00481501">
        <w:rPr>
          <w:rFonts w:eastAsia="MS Mincho"/>
          <w:color w:val="auto"/>
          <w:sz w:val="20"/>
          <w:szCs w:val="20"/>
        </w:rPr>
        <w:t xml:space="preserve">status reporting with </w:t>
      </w:r>
      <w:r w:rsidR="00222D0E" w:rsidRPr="00A2449D">
        <w:rPr>
          <w:rFonts w:eastAsia="MS Mincho"/>
          <w:color w:val="auto"/>
          <w:sz w:val="20"/>
          <w:szCs w:val="20"/>
        </w:rPr>
        <w:t>small amounts of data</w:t>
      </w:r>
      <w:r w:rsidR="009D12D0" w:rsidRPr="009D12D0">
        <w:rPr>
          <w:rFonts w:eastAsia="MS Mincho"/>
          <w:color w:val="auto"/>
          <w:sz w:val="20"/>
          <w:szCs w:val="20"/>
        </w:rPr>
        <w:t xml:space="preserve"> </w:t>
      </w:r>
      <w:r w:rsidR="009D12D0">
        <w:rPr>
          <w:rFonts w:eastAsia="MS Mincho"/>
          <w:color w:val="auto"/>
          <w:sz w:val="20"/>
          <w:szCs w:val="20"/>
        </w:rPr>
        <w:t>and very low duty factor</w:t>
      </w:r>
      <w:r w:rsidR="00715792">
        <w:rPr>
          <w:rFonts w:eastAsia="MS Mincho"/>
          <w:color w:val="auto"/>
          <w:sz w:val="20"/>
          <w:szCs w:val="20"/>
        </w:rPr>
        <w:t xml:space="preserve">, </w:t>
      </w:r>
      <w:r w:rsidR="00361EE9">
        <w:rPr>
          <w:rFonts w:eastAsia="MS Mincho"/>
          <w:color w:val="auto"/>
          <w:sz w:val="20"/>
          <w:szCs w:val="20"/>
        </w:rPr>
        <w:t>NOMA techniques</w:t>
      </w:r>
      <w:r w:rsidR="00715792">
        <w:rPr>
          <w:rFonts w:eastAsia="MS Mincho"/>
          <w:color w:val="auto"/>
          <w:sz w:val="20"/>
          <w:szCs w:val="20"/>
        </w:rPr>
        <w:t xml:space="preserve"> </w:t>
      </w:r>
      <w:r w:rsidR="009D3749">
        <w:rPr>
          <w:rFonts w:eastAsia="MS Mincho"/>
          <w:color w:val="auto"/>
          <w:sz w:val="20"/>
          <w:szCs w:val="20"/>
        </w:rPr>
        <w:t xml:space="preserve">are </w:t>
      </w:r>
      <w:r w:rsidR="00715792">
        <w:rPr>
          <w:rFonts w:eastAsia="MS Mincho"/>
          <w:color w:val="auto"/>
          <w:sz w:val="20"/>
          <w:szCs w:val="20"/>
        </w:rPr>
        <w:t xml:space="preserve">more </w:t>
      </w:r>
      <w:r w:rsidR="00D344D6">
        <w:rPr>
          <w:rFonts w:eastAsia="MS Mincho"/>
          <w:color w:val="auto"/>
          <w:sz w:val="20"/>
          <w:szCs w:val="20"/>
        </w:rPr>
        <w:t xml:space="preserve">preferred in this situation </w:t>
      </w:r>
      <w:r w:rsidR="00F12536">
        <w:rPr>
          <w:rFonts w:eastAsia="MS Mincho"/>
          <w:color w:val="auto"/>
          <w:sz w:val="20"/>
          <w:szCs w:val="20"/>
        </w:rPr>
        <w:t xml:space="preserve">as demonstrated by the simulation results in </w:t>
      </w:r>
      <w:r w:rsidR="0000734B">
        <w:rPr>
          <w:rFonts w:eastAsia="MS Mincho"/>
          <w:color w:val="auto"/>
          <w:sz w:val="20"/>
          <w:szCs w:val="20"/>
        </w:rPr>
        <w:fldChar w:fldCharType="begin"/>
      </w:r>
      <w:r w:rsidR="0000734B">
        <w:rPr>
          <w:rFonts w:eastAsia="MS Mincho"/>
          <w:color w:val="auto"/>
          <w:sz w:val="20"/>
          <w:szCs w:val="20"/>
        </w:rPr>
        <w:instrText xml:space="preserve"> REF _Ref530677928 \r \h </w:instrText>
      </w:r>
      <w:r w:rsidR="0000734B">
        <w:rPr>
          <w:rFonts w:eastAsia="MS Mincho"/>
          <w:color w:val="auto"/>
          <w:sz w:val="20"/>
          <w:szCs w:val="20"/>
        </w:rPr>
      </w:r>
      <w:r w:rsidR="0000734B">
        <w:rPr>
          <w:rFonts w:eastAsia="MS Mincho"/>
          <w:color w:val="auto"/>
          <w:sz w:val="20"/>
          <w:szCs w:val="20"/>
        </w:rPr>
        <w:fldChar w:fldCharType="separate"/>
      </w:r>
      <w:r w:rsidR="0000734B">
        <w:rPr>
          <w:rFonts w:eastAsia="MS Mincho"/>
          <w:color w:val="auto"/>
          <w:sz w:val="20"/>
          <w:szCs w:val="20"/>
        </w:rPr>
        <w:t>[1]</w:t>
      </w:r>
      <w:r w:rsidR="0000734B">
        <w:rPr>
          <w:rFonts w:eastAsia="MS Mincho"/>
          <w:color w:val="auto"/>
          <w:sz w:val="20"/>
          <w:szCs w:val="20"/>
        </w:rPr>
        <w:fldChar w:fldCharType="end"/>
      </w:r>
      <w:r w:rsidR="00481501">
        <w:rPr>
          <w:rFonts w:eastAsia="MS Mincho"/>
          <w:color w:val="auto"/>
          <w:sz w:val="20"/>
          <w:szCs w:val="20"/>
        </w:rPr>
        <w:t>.</w:t>
      </w:r>
    </w:p>
    <w:p w14:paraId="3FC4D148" w14:textId="1DE86350" w:rsidR="00481501" w:rsidRDefault="00481501" w:rsidP="00F12536">
      <w:pPr>
        <w:adjustRightInd w:val="0"/>
        <w:snapToGrid w:val="0"/>
        <w:spacing w:beforeLines="50" w:before="156" w:afterLines="50" w:after="156"/>
        <w:rPr>
          <w:rFonts w:eastAsia="Times New Roman"/>
          <w:i/>
          <w:sz w:val="20"/>
          <w:szCs w:val="20"/>
        </w:rPr>
      </w:pPr>
      <w:r>
        <w:rPr>
          <w:rFonts w:eastAsia="Times New Roman"/>
          <w:b/>
          <w:i/>
          <w:sz w:val="20"/>
          <w:szCs w:val="20"/>
        </w:rPr>
        <w:t>Observation</w:t>
      </w:r>
      <w:r w:rsidRPr="00A855D5">
        <w:rPr>
          <w:rFonts w:eastAsia="Times New Roman"/>
          <w:b/>
          <w:i/>
          <w:sz w:val="20"/>
          <w:szCs w:val="20"/>
        </w:rPr>
        <w:t xml:space="preserve"> 1:</w:t>
      </w:r>
      <w:r w:rsidRPr="00A855D5">
        <w:rPr>
          <w:rFonts w:eastAsia="Times New Roman"/>
          <w:i/>
          <w:sz w:val="20"/>
          <w:szCs w:val="20"/>
        </w:rPr>
        <w:t xml:space="preserve"> </w:t>
      </w:r>
      <w:r>
        <w:rPr>
          <w:rFonts w:eastAsia="Times New Roman"/>
          <w:i/>
          <w:sz w:val="20"/>
          <w:szCs w:val="20"/>
        </w:rPr>
        <w:t xml:space="preserve">Support of NOMA techniques is beneficial for NTN </w:t>
      </w:r>
      <w:r w:rsidR="00691564">
        <w:rPr>
          <w:rFonts w:eastAsia="Times New Roman"/>
          <w:i/>
          <w:sz w:val="20"/>
          <w:szCs w:val="20"/>
        </w:rPr>
        <w:t>application</w:t>
      </w:r>
      <w:r w:rsidR="00851831">
        <w:rPr>
          <w:rFonts w:eastAsia="Times New Roman"/>
          <w:i/>
          <w:sz w:val="20"/>
          <w:szCs w:val="20"/>
        </w:rPr>
        <w:t>.</w:t>
      </w:r>
      <w:r w:rsidRPr="00A855D5">
        <w:rPr>
          <w:rFonts w:eastAsia="Times New Roman"/>
          <w:i/>
          <w:sz w:val="20"/>
          <w:szCs w:val="20"/>
        </w:rPr>
        <w:t xml:space="preserve"> </w:t>
      </w:r>
    </w:p>
    <w:p w14:paraId="09725CC9" w14:textId="714BFEFD" w:rsidR="00851831" w:rsidRPr="00A2449D" w:rsidRDefault="00095E01" w:rsidP="00851831">
      <w:pPr>
        <w:pStyle w:val="Heading1"/>
        <w:numPr>
          <w:ilvl w:val="1"/>
          <w:numId w:val="2"/>
        </w:numPr>
        <w:spacing w:before="120"/>
        <w:rPr>
          <w:b/>
          <w:sz w:val="24"/>
          <w:lang w:eastAsia="ko-KR"/>
        </w:rPr>
      </w:pPr>
      <w:r>
        <w:rPr>
          <w:b/>
          <w:sz w:val="24"/>
          <w:lang w:eastAsia="ko-KR"/>
        </w:rPr>
        <w:t xml:space="preserve">Grant-free transmission </w:t>
      </w:r>
      <w:r w:rsidR="00851831">
        <w:rPr>
          <w:b/>
          <w:sz w:val="24"/>
          <w:lang w:eastAsia="ko-KR"/>
        </w:rPr>
        <w:t xml:space="preserve">for NTN application </w:t>
      </w:r>
    </w:p>
    <w:p w14:paraId="17BA6A07" w14:textId="48783CC4" w:rsidR="00871971" w:rsidRDefault="00E31D9B" w:rsidP="002B13C5">
      <w:pPr>
        <w:autoSpaceDE w:val="0"/>
        <w:autoSpaceDN w:val="0"/>
        <w:adjustRightInd w:val="0"/>
        <w:snapToGrid w:val="0"/>
        <w:spacing w:afterLines="50" w:after="156"/>
        <w:rPr>
          <w:rFonts w:eastAsia="Times New Roman"/>
          <w:sz w:val="20"/>
          <w:szCs w:val="20"/>
        </w:rPr>
      </w:pPr>
      <w:r>
        <w:rPr>
          <w:rFonts w:eastAsia="MS Mincho"/>
          <w:color w:val="auto"/>
          <w:sz w:val="20"/>
          <w:szCs w:val="20"/>
        </w:rPr>
        <w:t>As mentioned above, f</w:t>
      </w:r>
      <w:r w:rsidR="00572DFA" w:rsidRPr="00222D0E">
        <w:rPr>
          <w:rFonts w:eastAsia="MS Mincho"/>
          <w:color w:val="auto"/>
          <w:sz w:val="20"/>
          <w:szCs w:val="20"/>
        </w:rPr>
        <w:t>or the case of</w:t>
      </w:r>
      <w:r w:rsidR="00EE6796">
        <w:rPr>
          <w:rFonts w:eastAsia="MS Mincho"/>
          <w:color w:val="auto"/>
          <w:sz w:val="20"/>
          <w:szCs w:val="20"/>
        </w:rPr>
        <w:t xml:space="preserve"> GEO</w:t>
      </w:r>
      <w:r w:rsidR="00572DFA" w:rsidRPr="00222D0E">
        <w:rPr>
          <w:rFonts w:eastAsia="MS Mincho"/>
          <w:color w:val="auto"/>
          <w:sz w:val="20"/>
          <w:szCs w:val="20"/>
        </w:rPr>
        <w:t xml:space="preserve"> satellites, depending on the location of the earth terminals, the end to end delay range</w:t>
      </w:r>
      <w:r w:rsidR="002A0DFD">
        <w:rPr>
          <w:rFonts w:eastAsia="MS Mincho"/>
          <w:color w:val="auto"/>
          <w:sz w:val="20"/>
          <w:szCs w:val="20"/>
        </w:rPr>
        <w:t>s</w:t>
      </w:r>
      <w:r w:rsidR="00572DFA" w:rsidRPr="00222D0E">
        <w:rPr>
          <w:rFonts w:eastAsia="MS Mincho"/>
          <w:color w:val="auto"/>
          <w:sz w:val="20"/>
          <w:szCs w:val="20"/>
        </w:rPr>
        <w:t xml:space="preserve"> roughly from 240 to 270 </w:t>
      </w:r>
      <w:proofErr w:type="spellStart"/>
      <w:r w:rsidR="00572DFA" w:rsidRPr="00222D0E">
        <w:rPr>
          <w:rFonts w:eastAsia="MS Mincho"/>
          <w:color w:val="auto"/>
          <w:sz w:val="20"/>
          <w:szCs w:val="20"/>
        </w:rPr>
        <w:t>ms.</w:t>
      </w:r>
      <w:proofErr w:type="spellEnd"/>
      <w:r w:rsidR="00EE6796">
        <w:rPr>
          <w:rFonts w:eastAsia="MS Mincho"/>
          <w:color w:val="auto"/>
          <w:sz w:val="20"/>
          <w:szCs w:val="20"/>
        </w:rPr>
        <w:t xml:space="preserve"> </w:t>
      </w:r>
      <w:r w:rsidR="00572DFA" w:rsidRPr="00222D0E">
        <w:rPr>
          <w:rFonts w:eastAsia="Times New Roman"/>
          <w:sz w:val="20"/>
          <w:szCs w:val="20"/>
        </w:rPr>
        <w:t>LEO satellites enjoy considerably lower round trip propagation delays, nonetheless they are still greater than the typical terrestrial network delay.</w:t>
      </w:r>
      <w:r w:rsidR="007C2B06">
        <w:rPr>
          <w:rFonts w:eastAsia="Times New Roman"/>
          <w:sz w:val="20"/>
          <w:szCs w:val="20"/>
        </w:rPr>
        <w:t xml:space="preserve"> </w:t>
      </w:r>
      <w:r w:rsidR="00871971">
        <w:rPr>
          <w:rFonts w:eastAsia="Times New Roman"/>
          <w:sz w:val="20"/>
          <w:szCs w:val="20"/>
        </w:rPr>
        <w:t xml:space="preserve">In </w:t>
      </w:r>
      <w:r w:rsidR="00041A6C">
        <w:rPr>
          <w:rFonts w:eastAsia="Times New Roman"/>
          <w:sz w:val="20"/>
          <w:szCs w:val="20"/>
        </w:rPr>
        <w:t>either case</w:t>
      </w:r>
      <w:r w:rsidR="00871971">
        <w:rPr>
          <w:rFonts w:eastAsia="Times New Roman"/>
          <w:sz w:val="20"/>
          <w:szCs w:val="20"/>
        </w:rPr>
        <w:t xml:space="preserve">, </w:t>
      </w:r>
      <w:r w:rsidR="009058F7">
        <w:rPr>
          <w:rFonts w:eastAsia="Times New Roman"/>
          <w:sz w:val="20"/>
          <w:szCs w:val="20"/>
        </w:rPr>
        <w:t xml:space="preserve">it seems that </w:t>
      </w:r>
      <w:r w:rsidR="003A4CB9">
        <w:rPr>
          <w:rFonts w:eastAsia="Times New Roman"/>
          <w:sz w:val="20"/>
          <w:szCs w:val="20"/>
        </w:rPr>
        <w:t xml:space="preserve">the transmission will not be time-efficient according to the </w:t>
      </w:r>
      <w:r w:rsidR="00871971">
        <w:rPr>
          <w:rFonts w:eastAsia="Times New Roman"/>
          <w:sz w:val="20"/>
          <w:szCs w:val="20"/>
        </w:rPr>
        <w:t>grant based scheduling with tight control from gNB side</w:t>
      </w:r>
      <w:r w:rsidR="003A4CB9">
        <w:rPr>
          <w:rFonts w:eastAsia="Times New Roman"/>
          <w:sz w:val="20"/>
          <w:szCs w:val="20"/>
        </w:rPr>
        <w:t xml:space="preserve">. </w:t>
      </w:r>
      <w:r w:rsidR="003A4CB9" w:rsidRPr="00D903C2">
        <w:rPr>
          <w:rFonts w:eastAsia="Times New Roman"/>
          <w:sz w:val="20"/>
          <w:szCs w:val="20"/>
        </w:rPr>
        <w:t xml:space="preserve">And, the </w:t>
      </w:r>
      <w:r w:rsidR="00D71BA3" w:rsidRPr="00D903C2">
        <w:rPr>
          <w:rFonts w:eastAsia="Times New Roman"/>
          <w:sz w:val="20"/>
          <w:szCs w:val="20"/>
        </w:rPr>
        <w:t xml:space="preserve">functionality of </w:t>
      </w:r>
      <w:r w:rsidR="003A4CB9" w:rsidRPr="00D903C2">
        <w:rPr>
          <w:rFonts w:eastAsia="Times New Roman"/>
          <w:sz w:val="20"/>
          <w:szCs w:val="20"/>
        </w:rPr>
        <w:t xml:space="preserve">existing </w:t>
      </w:r>
      <w:r w:rsidR="00D71BA3" w:rsidRPr="00D903C2">
        <w:rPr>
          <w:rFonts w:eastAsia="Times New Roman"/>
          <w:sz w:val="20"/>
          <w:szCs w:val="20"/>
        </w:rPr>
        <w:t>mechanism</w:t>
      </w:r>
      <w:r w:rsidR="00EE6796" w:rsidRPr="00D903C2">
        <w:rPr>
          <w:rFonts w:eastAsia="Times New Roman"/>
          <w:sz w:val="20"/>
          <w:szCs w:val="20"/>
        </w:rPr>
        <w:t>s</w:t>
      </w:r>
      <w:r w:rsidR="00871971" w:rsidRPr="00D903C2">
        <w:rPr>
          <w:rFonts w:eastAsia="Times New Roman"/>
          <w:sz w:val="20"/>
          <w:szCs w:val="20"/>
        </w:rPr>
        <w:t xml:space="preserve">, e.g., HARQ, close-loop link adaptation, </w:t>
      </w:r>
      <w:r w:rsidR="00720284">
        <w:rPr>
          <w:rFonts w:eastAsia="Times New Roman"/>
          <w:sz w:val="20"/>
          <w:szCs w:val="20"/>
        </w:rPr>
        <w:t>is still under discussion in the current RAN SI on NR solutions for NTN</w:t>
      </w:r>
      <w:r w:rsidR="00871971">
        <w:rPr>
          <w:rFonts w:eastAsia="Times New Roman"/>
          <w:sz w:val="20"/>
          <w:szCs w:val="20"/>
        </w:rPr>
        <w:t xml:space="preserve">. </w:t>
      </w:r>
      <w:r w:rsidR="00D71BA3">
        <w:rPr>
          <w:rFonts w:eastAsia="Times New Roman"/>
          <w:sz w:val="20"/>
          <w:szCs w:val="20"/>
        </w:rPr>
        <w:t>Furthermore,</w:t>
      </w:r>
      <w:r w:rsidR="00EE6796">
        <w:rPr>
          <w:rFonts w:eastAsia="Times New Roman"/>
          <w:sz w:val="20"/>
          <w:szCs w:val="20"/>
        </w:rPr>
        <w:t xml:space="preserve"> cost of communication capacity for communications satellite networks are generally higher than terrestrial networks,  </w:t>
      </w:r>
      <w:r w:rsidR="00FF3DF1">
        <w:rPr>
          <w:rFonts w:eastAsia="Times New Roman"/>
          <w:sz w:val="20"/>
          <w:szCs w:val="20"/>
        </w:rPr>
        <w:t xml:space="preserve">more efficient usage of resources for traffic </w:t>
      </w:r>
      <w:r w:rsidR="00F41BF7">
        <w:rPr>
          <w:rFonts w:eastAsia="Times New Roman"/>
          <w:sz w:val="20"/>
          <w:szCs w:val="20"/>
        </w:rPr>
        <w:t xml:space="preserve">delivery </w:t>
      </w:r>
      <w:r w:rsidR="00FF3DF1">
        <w:rPr>
          <w:rFonts w:eastAsia="Times New Roman"/>
          <w:sz w:val="20"/>
          <w:szCs w:val="20"/>
        </w:rPr>
        <w:t xml:space="preserve">is certainly </w:t>
      </w:r>
      <w:r w:rsidR="001A3C0B">
        <w:rPr>
          <w:rFonts w:eastAsia="Times New Roman"/>
          <w:sz w:val="20"/>
          <w:szCs w:val="20"/>
        </w:rPr>
        <w:t>preferred if</w:t>
      </w:r>
      <w:r w:rsidR="006F03E6">
        <w:rPr>
          <w:rFonts w:eastAsia="Times New Roman"/>
          <w:sz w:val="20"/>
          <w:szCs w:val="20"/>
        </w:rPr>
        <w:t xml:space="preserve"> </w:t>
      </w:r>
      <w:r w:rsidR="00FF3DF1">
        <w:rPr>
          <w:rFonts w:eastAsia="Times New Roman"/>
          <w:sz w:val="20"/>
          <w:szCs w:val="20"/>
        </w:rPr>
        <w:t xml:space="preserve"> unnecessary signaling exchanges</w:t>
      </w:r>
      <w:r w:rsidR="00541260">
        <w:rPr>
          <w:rFonts w:eastAsia="Times New Roman"/>
          <w:sz w:val="20"/>
          <w:szCs w:val="20"/>
        </w:rPr>
        <w:t xml:space="preserve"> for accessing and transmission</w:t>
      </w:r>
      <w:r w:rsidR="006F03E6">
        <w:rPr>
          <w:rFonts w:eastAsia="Times New Roman"/>
          <w:sz w:val="20"/>
          <w:szCs w:val="20"/>
        </w:rPr>
        <w:t xml:space="preserve"> can be minimized</w:t>
      </w:r>
      <w:r w:rsidR="00FF3DF1">
        <w:rPr>
          <w:rFonts w:eastAsia="Times New Roman"/>
          <w:sz w:val="20"/>
          <w:szCs w:val="20"/>
        </w:rPr>
        <w:t>.</w:t>
      </w:r>
    </w:p>
    <w:p w14:paraId="073B89CE" w14:textId="110221EA" w:rsidR="007C2B06" w:rsidRDefault="00F74442" w:rsidP="002B13C5">
      <w:pPr>
        <w:autoSpaceDE w:val="0"/>
        <w:autoSpaceDN w:val="0"/>
        <w:adjustRightInd w:val="0"/>
        <w:snapToGrid w:val="0"/>
        <w:spacing w:after="0"/>
        <w:rPr>
          <w:rFonts w:eastAsia="MS Mincho"/>
          <w:color w:val="auto"/>
          <w:sz w:val="20"/>
          <w:szCs w:val="20"/>
        </w:rPr>
      </w:pPr>
      <w:r>
        <w:rPr>
          <w:rFonts w:eastAsia="Times New Roman"/>
          <w:sz w:val="20"/>
          <w:szCs w:val="20"/>
        </w:rPr>
        <w:t>Additionally</w:t>
      </w:r>
      <w:r w:rsidR="007C2B06">
        <w:rPr>
          <w:rFonts w:eastAsia="Times New Roman"/>
          <w:sz w:val="20"/>
          <w:szCs w:val="20"/>
        </w:rPr>
        <w:t xml:space="preserve">, </w:t>
      </w:r>
      <w:r w:rsidR="002609EB">
        <w:rPr>
          <w:rFonts w:eastAsia="MS Mincho"/>
          <w:color w:val="auto"/>
          <w:sz w:val="20"/>
          <w:szCs w:val="20"/>
        </w:rPr>
        <w:t>i</w:t>
      </w:r>
      <w:r w:rsidR="002609EB" w:rsidRPr="00A2449D">
        <w:rPr>
          <w:rFonts w:eastAsia="MS Mincho"/>
          <w:color w:val="auto"/>
          <w:sz w:val="20"/>
          <w:szCs w:val="20"/>
        </w:rPr>
        <w:t>t</w:t>
      </w:r>
      <w:r w:rsidR="002A0DFD">
        <w:rPr>
          <w:rFonts w:eastAsia="MS Mincho"/>
          <w:color w:val="auto"/>
          <w:sz w:val="20"/>
          <w:szCs w:val="20"/>
        </w:rPr>
        <w:t xml:space="preserve">’s also </w:t>
      </w:r>
      <w:r w:rsidR="002609EB" w:rsidRPr="00A2449D">
        <w:rPr>
          <w:rFonts w:eastAsia="MS Mincho"/>
          <w:color w:val="auto"/>
          <w:sz w:val="20"/>
          <w:szCs w:val="20"/>
        </w:rPr>
        <w:t xml:space="preserve">important to minimize the </w:t>
      </w:r>
      <w:r w:rsidR="002B13C5">
        <w:rPr>
          <w:rFonts w:eastAsia="MS Mincho"/>
          <w:color w:val="auto"/>
          <w:sz w:val="20"/>
          <w:szCs w:val="20"/>
        </w:rPr>
        <w:t>time consumption for</w:t>
      </w:r>
      <w:r w:rsidR="006F03E6">
        <w:rPr>
          <w:rFonts w:eastAsia="MS Mincho"/>
          <w:color w:val="auto"/>
          <w:sz w:val="20"/>
          <w:szCs w:val="20"/>
        </w:rPr>
        <w:t xml:space="preserve"> signal transmission thereby</w:t>
      </w:r>
      <w:r w:rsidR="002B13C5">
        <w:rPr>
          <w:rFonts w:eastAsia="MS Mincho"/>
          <w:color w:val="auto"/>
          <w:sz w:val="20"/>
          <w:szCs w:val="20"/>
        </w:rPr>
        <w:t xml:space="preserve"> maximizing the </w:t>
      </w:r>
      <w:r w:rsidR="002609EB" w:rsidRPr="00A2449D">
        <w:rPr>
          <w:rFonts w:eastAsia="MS Mincho"/>
          <w:color w:val="auto"/>
          <w:sz w:val="20"/>
          <w:szCs w:val="20"/>
        </w:rPr>
        <w:t xml:space="preserve">battery life of </w:t>
      </w:r>
      <w:r w:rsidR="002609EB">
        <w:rPr>
          <w:rFonts w:eastAsia="MS Mincho"/>
          <w:color w:val="auto"/>
          <w:sz w:val="20"/>
          <w:szCs w:val="20"/>
        </w:rPr>
        <w:t xml:space="preserve">NTN terminals, e.g., </w:t>
      </w:r>
      <w:r w:rsidR="007C2B06">
        <w:rPr>
          <w:rFonts w:eastAsia="MS Mincho"/>
          <w:color w:val="auto"/>
          <w:sz w:val="20"/>
          <w:szCs w:val="20"/>
        </w:rPr>
        <w:t>typical IoT terminal</w:t>
      </w:r>
      <w:r w:rsidR="00983660">
        <w:rPr>
          <w:rFonts w:eastAsia="MS Mincho"/>
          <w:color w:val="auto"/>
          <w:sz w:val="20"/>
          <w:szCs w:val="20"/>
        </w:rPr>
        <w:t>s</w:t>
      </w:r>
      <w:r w:rsidR="00D831AE">
        <w:rPr>
          <w:rFonts w:eastAsia="MS Mincho"/>
          <w:color w:val="auto"/>
          <w:sz w:val="20"/>
          <w:szCs w:val="20"/>
        </w:rPr>
        <w:t>,</w:t>
      </w:r>
      <w:r w:rsidR="007C2B06">
        <w:rPr>
          <w:rFonts w:eastAsia="MS Mincho"/>
          <w:color w:val="auto"/>
          <w:sz w:val="20"/>
          <w:szCs w:val="20"/>
        </w:rPr>
        <w:t xml:space="preserve"> </w:t>
      </w:r>
      <w:r w:rsidR="002609EB" w:rsidRPr="00A2449D">
        <w:rPr>
          <w:rFonts w:eastAsia="MS Mincho"/>
          <w:color w:val="auto"/>
          <w:sz w:val="20"/>
          <w:szCs w:val="20"/>
        </w:rPr>
        <w:t xml:space="preserve">in order to make </w:t>
      </w:r>
      <w:r w:rsidR="002609EB">
        <w:rPr>
          <w:rFonts w:eastAsia="MS Mincho"/>
          <w:color w:val="auto"/>
          <w:sz w:val="20"/>
          <w:szCs w:val="20"/>
        </w:rPr>
        <w:t>following exemplified services</w:t>
      </w:r>
      <w:r w:rsidR="002609EB" w:rsidRPr="00A2449D">
        <w:rPr>
          <w:rFonts w:eastAsia="MS Mincho"/>
          <w:color w:val="auto"/>
          <w:sz w:val="20"/>
          <w:szCs w:val="20"/>
        </w:rPr>
        <w:t xml:space="preserve"> economically</w:t>
      </w:r>
      <w:r w:rsidR="002609EB">
        <w:rPr>
          <w:rFonts w:eastAsia="MS Mincho"/>
          <w:color w:val="auto"/>
          <w:sz w:val="20"/>
          <w:szCs w:val="20"/>
        </w:rPr>
        <w:t xml:space="preserve"> </w:t>
      </w:r>
      <w:r w:rsidR="002609EB" w:rsidRPr="00A2449D">
        <w:rPr>
          <w:rFonts w:eastAsia="MS Mincho"/>
          <w:color w:val="auto"/>
          <w:sz w:val="20"/>
          <w:szCs w:val="20"/>
        </w:rPr>
        <w:t>viable</w:t>
      </w:r>
      <w:r w:rsidR="00465270">
        <w:rPr>
          <w:rFonts w:eastAsia="MS Mincho"/>
          <w:color w:val="auto"/>
          <w:sz w:val="20"/>
          <w:szCs w:val="20"/>
        </w:rPr>
        <w:t>.</w:t>
      </w:r>
    </w:p>
    <w:p w14:paraId="4AD6C774" w14:textId="77777777" w:rsidR="007C2B06" w:rsidRPr="00A2449D" w:rsidRDefault="007C2B06" w:rsidP="002B13C5">
      <w:pPr>
        <w:pStyle w:val="ListParagraph"/>
        <w:numPr>
          <w:ilvl w:val="0"/>
          <w:numId w:val="16"/>
        </w:numPr>
        <w:autoSpaceDE w:val="0"/>
        <w:autoSpaceDN w:val="0"/>
        <w:adjustRightInd w:val="0"/>
        <w:snapToGrid w:val="0"/>
        <w:spacing w:after="0"/>
        <w:rPr>
          <w:rFonts w:eastAsia="MS Mincho"/>
          <w:color w:val="auto"/>
          <w:sz w:val="20"/>
          <w:szCs w:val="20"/>
        </w:rPr>
      </w:pPr>
      <w:r>
        <w:rPr>
          <w:rFonts w:eastAsia="MS Mincho"/>
          <w:color w:val="auto"/>
          <w:sz w:val="20"/>
          <w:szCs w:val="20"/>
        </w:rPr>
        <w:t>U</w:t>
      </w:r>
      <w:r w:rsidRPr="001B3232">
        <w:rPr>
          <w:rFonts w:eastAsia="MS Mincho"/>
          <w:color w:val="auto"/>
          <w:sz w:val="20"/>
          <w:szCs w:val="20"/>
        </w:rPr>
        <w:t>tiliz</w:t>
      </w:r>
      <w:r>
        <w:rPr>
          <w:rFonts w:eastAsia="MS Mincho"/>
          <w:color w:val="auto"/>
          <w:sz w:val="20"/>
          <w:szCs w:val="20"/>
        </w:rPr>
        <w:t>ing</w:t>
      </w:r>
      <w:r w:rsidRPr="00A2449D">
        <w:rPr>
          <w:rFonts w:eastAsia="MS Mincho"/>
          <w:color w:val="auto"/>
          <w:sz w:val="20"/>
          <w:szCs w:val="20"/>
        </w:rPr>
        <w:t xml:space="preserve"> meter readings for electricity, oil, gas, and chemical storage tanks; </w:t>
      </w:r>
    </w:p>
    <w:p w14:paraId="2CAE9B96" w14:textId="77777777" w:rsidR="007C2B06" w:rsidRPr="00A2449D" w:rsidRDefault="007C2B06" w:rsidP="002B13C5">
      <w:pPr>
        <w:pStyle w:val="ListParagraph"/>
        <w:numPr>
          <w:ilvl w:val="0"/>
          <w:numId w:val="16"/>
        </w:numPr>
        <w:autoSpaceDE w:val="0"/>
        <w:autoSpaceDN w:val="0"/>
        <w:adjustRightInd w:val="0"/>
        <w:snapToGrid w:val="0"/>
        <w:spacing w:after="0"/>
        <w:rPr>
          <w:rFonts w:eastAsia="MS Mincho"/>
          <w:color w:val="auto"/>
          <w:sz w:val="20"/>
          <w:szCs w:val="20"/>
        </w:rPr>
      </w:pPr>
      <w:r>
        <w:rPr>
          <w:rFonts w:eastAsia="MS Mincho"/>
          <w:color w:val="auto"/>
          <w:sz w:val="20"/>
          <w:szCs w:val="20"/>
        </w:rPr>
        <w:t>R</w:t>
      </w:r>
      <w:r w:rsidRPr="00A2449D">
        <w:rPr>
          <w:rFonts w:eastAsia="MS Mincho"/>
          <w:color w:val="auto"/>
          <w:sz w:val="20"/>
          <w:szCs w:val="20"/>
        </w:rPr>
        <w:t>eporting of flow, temperature, pressure, leakage, corrosion, for oil and gas pipelines;</w:t>
      </w:r>
    </w:p>
    <w:p w14:paraId="4193994B" w14:textId="77777777" w:rsidR="007C2B06" w:rsidRPr="00A2449D" w:rsidRDefault="007C2B06" w:rsidP="002B13C5">
      <w:pPr>
        <w:pStyle w:val="ListParagraph"/>
        <w:numPr>
          <w:ilvl w:val="0"/>
          <w:numId w:val="16"/>
        </w:numPr>
        <w:autoSpaceDE w:val="0"/>
        <w:autoSpaceDN w:val="0"/>
        <w:adjustRightInd w:val="0"/>
        <w:snapToGrid w:val="0"/>
        <w:spacing w:after="0"/>
        <w:rPr>
          <w:rFonts w:eastAsia="MS Mincho"/>
          <w:color w:val="auto"/>
          <w:sz w:val="20"/>
          <w:szCs w:val="20"/>
        </w:rPr>
      </w:pPr>
      <w:r w:rsidRPr="00D45005">
        <w:rPr>
          <w:rFonts w:eastAsia="MS Mincho"/>
          <w:color w:val="auto"/>
          <w:sz w:val="20"/>
          <w:szCs w:val="20"/>
        </w:rPr>
        <w:t>Monitoring</w:t>
      </w:r>
      <w:r w:rsidRPr="00A855D5">
        <w:rPr>
          <w:rFonts w:eastAsia="MS Mincho"/>
          <w:color w:val="auto"/>
          <w:sz w:val="20"/>
          <w:szCs w:val="20"/>
        </w:rPr>
        <w:t xml:space="preserve"> </w:t>
      </w:r>
      <w:r w:rsidRPr="00A2449D">
        <w:rPr>
          <w:rFonts w:eastAsia="MS Mincho"/>
          <w:color w:val="auto"/>
          <w:sz w:val="20"/>
          <w:szCs w:val="20"/>
        </w:rPr>
        <w:t xml:space="preserve">and control of remote voltage regulators, capacitors, valves, compressors, and substations for chemical plants; </w:t>
      </w:r>
    </w:p>
    <w:p w14:paraId="566C96E1" w14:textId="77777777" w:rsidR="007C2B06" w:rsidRPr="00A2449D" w:rsidRDefault="007C2B06" w:rsidP="002B13C5">
      <w:pPr>
        <w:pStyle w:val="ListParagraph"/>
        <w:numPr>
          <w:ilvl w:val="0"/>
          <w:numId w:val="16"/>
        </w:numPr>
        <w:autoSpaceDE w:val="0"/>
        <w:autoSpaceDN w:val="0"/>
        <w:adjustRightInd w:val="0"/>
        <w:snapToGrid w:val="0"/>
        <w:spacing w:after="0"/>
        <w:rPr>
          <w:rFonts w:eastAsia="MS Mincho"/>
          <w:color w:val="auto"/>
          <w:sz w:val="20"/>
          <w:szCs w:val="20"/>
        </w:rPr>
      </w:pPr>
      <w:r>
        <w:rPr>
          <w:rFonts w:eastAsia="MS Mincho"/>
          <w:color w:val="auto"/>
          <w:sz w:val="20"/>
          <w:szCs w:val="20"/>
        </w:rPr>
        <w:t>T</w:t>
      </w:r>
      <w:r w:rsidRPr="00A2449D">
        <w:rPr>
          <w:rFonts w:eastAsia="MS Mincho"/>
          <w:color w:val="auto"/>
          <w:sz w:val="20"/>
          <w:szCs w:val="20"/>
        </w:rPr>
        <w:t>racking of vehicles, trucks, trailers, containers, cargos, barges, ships, trains, hazardous materials,</w:t>
      </w:r>
    </w:p>
    <w:p w14:paraId="1EE51E44" w14:textId="77777777" w:rsidR="007C2B06" w:rsidRPr="00A2449D" w:rsidRDefault="007C2B06" w:rsidP="002B13C5">
      <w:pPr>
        <w:pStyle w:val="ListParagraph"/>
        <w:numPr>
          <w:ilvl w:val="0"/>
          <w:numId w:val="16"/>
        </w:numPr>
        <w:autoSpaceDE w:val="0"/>
        <w:autoSpaceDN w:val="0"/>
        <w:adjustRightInd w:val="0"/>
        <w:snapToGrid w:val="0"/>
        <w:spacing w:after="0"/>
        <w:rPr>
          <w:rFonts w:eastAsia="MS Mincho"/>
          <w:color w:val="auto"/>
          <w:sz w:val="20"/>
          <w:szCs w:val="20"/>
        </w:rPr>
      </w:pPr>
      <w:r w:rsidRPr="00D45005">
        <w:rPr>
          <w:rFonts w:eastAsia="MS Mincho"/>
          <w:color w:val="auto"/>
          <w:sz w:val="20"/>
          <w:szCs w:val="20"/>
        </w:rPr>
        <w:t>Monitoring</w:t>
      </w:r>
      <w:r w:rsidRPr="00A855D5">
        <w:rPr>
          <w:rFonts w:eastAsia="MS Mincho"/>
          <w:color w:val="auto"/>
          <w:sz w:val="20"/>
          <w:szCs w:val="20"/>
        </w:rPr>
        <w:t xml:space="preserve"> </w:t>
      </w:r>
      <w:r w:rsidRPr="00A2449D">
        <w:rPr>
          <w:rFonts w:eastAsia="MS Mincho"/>
          <w:color w:val="auto"/>
          <w:sz w:val="20"/>
          <w:szCs w:val="20"/>
        </w:rPr>
        <w:t xml:space="preserve">of the operating data or alarms of vehicles, tanker fleets, trailers, barges, and ships etc.; </w:t>
      </w:r>
    </w:p>
    <w:p w14:paraId="56C6D917" w14:textId="77777777" w:rsidR="007C2B06" w:rsidRPr="00A2449D" w:rsidRDefault="007C2B06" w:rsidP="002B13C5">
      <w:pPr>
        <w:pStyle w:val="ListParagraph"/>
        <w:numPr>
          <w:ilvl w:val="0"/>
          <w:numId w:val="16"/>
        </w:numPr>
        <w:autoSpaceDE w:val="0"/>
        <w:autoSpaceDN w:val="0"/>
        <w:adjustRightInd w:val="0"/>
        <w:snapToGrid w:val="0"/>
        <w:spacing w:after="0"/>
        <w:rPr>
          <w:rFonts w:eastAsia="MS Mincho"/>
          <w:color w:val="auto"/>
          <w:sz w:val="20"/>
          <w:szCs w:val="20"/>
        </w:rPr>
      </w:pPr>
      <w:r w:rsidRPr="00D45005">
        <w:rPr>
          <w:rFonts w:eastAsia="MS Mincho"/>
          <w:color w:val="auto"/>
          <w:sz w:val="20"/>
          <w:szCs w:val="20"/>
        </w:rPr>
        <w:t>Monitoring</w:t>
      </w:r>
      <w:r w:rsidRPr="00A2449D">
        <w:rPr>
          <w:rFonts w:eastAsia="MS Mincho"/>
          <w:color w:val="auto"/>
          <w:sz w:val="20"/>
          <w:szCs w:val="20"/>
        </w:rPr>
        <w:t xml:space="preserve"> of meteorological and environmental data and readings of rain gauge, lightening and fire detectors, avalanche monitors, buoys, balloons, iceberg movements etc.</w:t>
      </w:r>
    </w:p>
    <w:p w14:paraId="4FE15C73" w14:textId="2BC231DA" w:rsidR="007C2B06" w:rsidRDefault="00572DFA" w:rsidP="002B13C5">
      <w:pPr>
        <w:autoSpaceDE w:val="0"/>
        <w:autoSpaceDN w:val="0"/>
        <w:adjustRightInd w:val="0"/>
        <w:snapToGrid w:val="0"/>
        <w:spacing w:beforeLines="50" w:before="156" w:afterLines="50" w:after="156"/>
        <w:rPr>
          <w:rFonts w:eastAsia="Malgun Gothic"/>
          <w:lang w:eastAsia="ko-KR"/>
        </w:rPr>
      </w:pPr>
      <w:r>
        <w:rPr>
          <w:color w:val="000000"/>
          <w:sz w:val="20"/>
          <w:szCs w:val="20"/>
        </w:rPr>
        <w:t xml:space="preserve">For achieving the demand on these cases, </w:t>
      </w:r>
      <w:r w:rsidR="006647F5">
        <w:rPr>
          <w:color w:val="000000"/>
          <w:sz w:val="20"/>
          <w:szCs w:val="20"/>
        </w:rPr>
        <w:t xml:space="preserve">supporting the </w:t>
      </w:r>
      <w:r>
        <w:rPr>
          <w:color w:val="000000"/>
          <w:sz w:val="20"/>
          <w:szCs w:val="20"/>
        </w:rPr>
        <w:t>transmission from the UE</w:t>
      </w:r>
      <w:r w:rsidR="002B13C5">
        <w:rPr>
          <w:color w:val="000000"/>
          <w:sz w:val="20"/>
          <w:szCs w:val="20"/>
        </w:rPr>
        <w:t xml:space="preserve"> in asynchronous </w:t>
      </w:r>
      <w:r w:rsidR="006647F5">
        <w:rPr>
          <w:color w:val="000000"/>
          <w:sz w:val="20"/>
          <w:szCs w:val="20"/>
        </w:rPr>
        <w:t>and RRC-inactive state seems to be necess</w:t>
      </w:r>
      <w:r w:rsidR="000146D9">
        <w:rPr>
          <w:color w:val="000000"/>
          <w:sz w:val="20"/>
          <w:szCs w:val="20"/>
        </w:rPr>
        <w:t>ar</w:t>
      </w:r>
      <w:r w:rsidR="006647F5">
        <w:rPr>
          <w:color w:val="000000"/>
          <w:sz w:val="20"/>
          <w:szCs w:val="20"/>
        </w:rPr>
        <w:t>y.</w:t>
      </w:r>
      <w:r w:rsidR="004443D5">
        <w:rPr>
          <w:color w:val="000000"/>
          <w:sz w:val="20"/>
          <w:szCs w:val="20"/>
        </w:rPr>
        <w:t xml:space="preserve"> </w:t>
      </w:r>
      <w:r w:rsidR="006647F5">
        <w:rPr>
          <w:color w:val="000000"/>
          <w:sz w:val="20"/>
          <w:szCs w:val="20"/>
        </w:rPr>
        <w:t xml:space="preserve">Introduction of NOMA techniques </w:t>
      </w:r>
      <w:r w:rsidR="004443D5">
        <w:rPr>
          <w:color w:val="000000"/>
          <w:sz w:val="20"/>
          <w:szCs w:val="20"/>
        </w:rPr>
        <w:t>together with</w:t>
      </w:r>
      <w:r>
        <w:rPr>
          <w:color w:val="000000"/>
          <w:sz w:val="20"/>
          <w:szCs w:val="20"/>
        </w:rPr>
        <w:t xml:space="preserve"> </w:t>
      </w:r>
      <w:r w:rsidRPr="00A2449D">
        <w:rPr>
          <w:rFonts w:eastAsia="MS Mincho"/>
          <w:color w:val="auto"/>
          <w:sz w:val="20"/>
          <w:szCs w:val="20"/>
        </w:rPr>
        <w:t>eff</w:t>
      </w:r>
      <w:r w:rsidR="004443D5">
        <w:rPr>
          <w:rFonts w:eastAsia="MS Mincho"/>
          <w:color w:val="auto"/>
          <w:sz w:val="20"/>
          <w:szCs w:val="20"/>
        </w:rPr>
        <w:t>ective random access techniques</w:t>
      </w:r>
      <w:r w:rsidR="00435AA7">
        <w:rPr>
          <w:rFonts w:eastAsia="MS Mincho"/>
          <w:color w:val="auto"/>
          <w:sz w:val="20"/>
          <w:szCs w:val="20"/>
        </w:rPr>
        <w:t>, e.g., 2-step RACH</w:t>
      </w:r>
      <w:r w:rsidR="004443D5">
        <w:rPr>
          <w:rFonts w:eastAsia="MS Mincho"/>
          <w:color w:val="auto"/>
          <w:sz w:val="20"/>
          <w:szCs w:val="20"/>
        </w:rPr>
        <w:t xml:space="preserve"> as proposed in </w:t>
      </w:r>
      <w:r w:rsidR="0000734B">
        <w:rPr>
          <w:rFonts w:eastAsia="MS Mincho"/>
          <w:color w:val="auto"/>
          <w:sz w:val="20"/>
          <w:szCs w:val="20"/>
        </w:rPr>
        <w:fldChar w:fldCharType="begin"/>
      </w:r>
      <w:r w:rsidR="0000734B">
        <w:rPr>
          <w:rFonts w:eastAsia="MS Mincho"/>
          <w:color w:val="auto"/>
          <w:sz w:val="20"/>
          <w:szCs w:val="20"/>
        </w:rPr>
        <w:instrText xml:space="preserve"> REF _Ref530678203 \r \h </w:instrText>
      </w:r>
      <w:r w:rsidR="0000734B">
        <w:rPr>
          <w:rFonts w:eastAsia="MS Mincho"/>
          <w:color w:val="auto"/>
          <w:sz w:val="20"/>
          <w:szCs w:val="20"/>
        </w:rPr>
      </w:r>
      <w:r w:rsidR="0000734B">
        <w:rPr>
          <w:rFonts w:eastAsia="MS Mincho"/>
          <w:color w:val="auto"/>
          <w:sz w:val="20"/>
          <w:szCs w:val="20"/>
        </w:rPr>
        <w:fldChar w:fldCharType="separate"/>
      </w:r>
      <w:r w:rsidR="0000734B">
        <w:rPr>
          <w:rFonts w:eastAsia="MS Mincho"/>
          <w:color w:val="auto"/>
          <w:sz w:val="20"/>
          <w:szCs w:val="20"/>
        </w:rPr>
        <w:t>[4]</w:t>
      </w:r>
      <w:r w:rsidR="0000734B">
        <w:rPr>
          <w:rFonts w:eastAsia="MS Mincho"/>
          <w:color w:val="auto"/>
          <w:sz w:val="20"/>
          <w:szCs w:val="20"/>
        </w:rPr>
        <w:fldChar w:fldCharType="end"/>
      </w:r>
      <w:r w:rsidR="000146D9">
        <w:rPr>
          <w:rFonts w:eastAsia="MS Mincho"/>
          <w:color w:val="auto"/>
          <w:sz w:val="20"/>
          <w:szCs w:val="20"/>
        </w:rPr>
        <w:t xml:space="preserve"> </w:t>
      </w:r>
      <w:r w:rsidR="004443D5">
        <w:rPr>
          <w:rFonts w:eastAsia="MS Mincho"/>
          <w:color w:val="auto"/>
          <w:sz w:val="20"/>
          <w:szCs w:val="20"/>
        </w:rPr>
        <w:t>which can enable</w:t>
      </w:r>
      <w:r w:rsidRPr="00A2449D">
        <w:rPr>
          <w:rFonts w:eastAsia="MS Mincho"/>
          <w:color w:val="auto"/>
          <w:sz w:val="20"/>
          <w:szCs w:val="20"/>
        </w:rPr>
        <w:t xml:space="preserve"> user terminals transmit with no network coordination or scheduling</w:t>
      </w:r>
      <w:r w:rsidR="004443D5">
        <w:rPr>
          <w:rFonts w:eastAsia="MS Mincho"/>
          <w:color w:val="auto"/>
          <w:sz w:val="20"/>
          <w:szCs w:val="20"/>
        </w:rPr>
        <w:t>,</w:t>
      </w:r>
      <w:r w:rsidRPr="00A2449D">
        <w:rPr>
          <w:rFonts w:eastAsia="MS Mincho"/>
          <w:color w:val="auto"/>
          <w:sz w:val="20"/>
          <w:szCs w:val="20"/>
        </w:rPr>
        <w:t xml:space="preserve"> are </w:t>
      </w:r>
      <w:r w:rsidR="00465270">
        <w:rPr>
          <w:rFonts w:eastAsia="MS Mincho"/>
          <w:color w:val="auto"/>
          <w:sz w:val="20"/>
          <w:szCs w:val="20"/>
        </w:rPr>
        <w:t>preferred</w:t>
      </w:r>
      <w:r w:rsidR="004443D5">
        <w:rPr>
          <w:rFonts w:eastAsia="MS Mincho"/>
          <w:color w:val="auto"/>
          <w:sz w:val="20"/>
          <w:szCs w:val="20"/>
        </w:rPr>
        <w:t>.</w:t>
      </w:r>
    </w:p>
    <w:p w14:paraId="367F8B4A" w14:textId="1B8A6307" w:rsidR="00E4392E" w:rsidRDefault="00E4392E" w:rsidP="002B13C5">
      <w:pPr>
        <w:adjustRightInd w:val="0"/>
        <w:snapToGrid w:val="0"/>
        <w:spacing w:afterLines="50" w:after="156"/>
        <w:rPr>
          <w:rFonts w:eastAsia="Times New Roman"/>
          <w:i/>
          <w:sz w:val="20"/>
          <w:szCs w:val="20"/>
        </w:rPr>
      </w:pPr>
      <w:r>
        <w:rPr>
          <w:rFonts w:eastAsia="Times New Roman"/>
          <w:b/>
          <w:i/>
          <w:sz w:val="20"/>
          <w:szCs w:val="20"/>
        </w:rPr>
        <w:lastRenderedPageBreak/>
        <w:t>Observation</w:t>
      </w:r>
      <w:r w:rsidRPr="00A855D5">
        <w:rPr>
          <w:rFonts w:eastAsia="Times New Roman"/>
          <w:b/>
          <w:i/>
          <w:sz w:val="20"/>
          <w:szCs w:val="20"/>
        </w:rPr>
        <w:t xml:space="preserve"> </w:t>
      </w:r>
      <w:r>
        <w:rPr>
          <w:rFonts w:eastAsia="Times New Roman"/>
          <w:b/>
          <w:i/>
          <w:sz w:val="20"/>
          <w:szCs w:val="20"/>
        </w:rPr>
        <w:t>2</w:t>
      </w:r>
      <w:r w:rsidRPr="00A855D5">
        <w:rPr>
          <w:rFonts w:eastAsia="Times New Roman"/>
          <w:b/>
          <w:i/>
          <w:sz w:val="20"/>
          <w:szCs w:val="20"/>
        </w:rPr>
        <w:t>:</w:t>
      </w:r>
      <w:r w:rsidRPr="00A855D5">
        <w:rPr>
          <w:rFonts w:eastAsia="Times New Roman"/>
          <w:i/>
          <w:sz w:val="20"/>
          <w:szCs w:val="20"/>
        </w:rPr>
        <w:t xml:space="preserve"> NOMA techniques</w:t>
      </w:r>
      <w:r w:rsidR="0029277A">
        <w:rPr>
          <w:rFonts w:eastAsia="Times New Roman"/>
          <w:i/>
          <w:sz w:val="20"/>
          <w:szCs w:val="20"/>
        </w:rPr>
        <w:t xml:space="preserve"> together with 2-step RACH</w:t>
      </w:r>
      <w:r w:rsidR="00C974E1">
        <w:rPr>
          <w:rFonts w:eastAsia="Times New Roman"/>
          <w:i/>
          <w:sz w:val="20"/>
          <w:szCs w:val="20"/>
        </w:rPr>
        <w:t xml:space="preserve"> can </w:t>
      </w:r>
      <w:r w:rsidRPr="00A855D5">
        <w:rPr>
          <w:rFonts w:eastAsia="Times New Roman"/>
          <w:i/>
          <w:sz w:val="20"/>
          <w:szCs w:val="20"/>
        </w:rPr>
        <w:t>enabl</w:t>
      </w:r>
      <w:r w:rsidR="00C974E1">
        <w:rPr>
          <w:rFonts w:eastAsia="Times New Roman"/>
          <w:i/>
          <w:sz w:val="20"/>
          <w:szCs w:val="20"/>
        </w:rPr>
        <w:t>e</w:t>
      </w:r>
      <w:r w:rsidRPr="00A855D5">
        <w:rPr>
          <w:rFonts w:eastAsia="Times New Roman"/>
          <w:i/>
          <w:sz w:val="20"/>
          <w:szCs w:val="20"/>
        </w:rPr>
        <w:t xml:space="preserve"> </w:t>
      </w:r>
      <w:r w:rsidR="00C974E1">
        <w:rPr>
          <w:rFonts w:eastAsia="Times New Roman"/>
          <w:i/>
          <w:sz w:val="20"/>
          <w:szCs w:val="20"/>
        </w:rPr>
        <w:t>UL</w:t>
      </w:r>
      <w:r w:rsidRPr="00A855D5">
        <w:rPr>
          <w:rFonts w:eastAsia="Times New Roman"/>
          <w:i/>
          <w:sz w:val="20"/>
          <w:szCs w:val="20"/>
        </w:rPr>
        <w:t xml:space="preserve"> transmission </w:t>
      </w:r>
      <w:r w:rsidR="00C974E1">
        <w:rPr>
          <w:rFonts w:eastAsia="Times New Roman"/>
          <w:i/>
          <w:sz w:val="20"/>
          <w:szCs w:val="20"/>
        </w:rPr>
        <w:t>from massive UE</w:t>
      </w:r>
      <w:r w:rsidR="001F015A">
        <w:rPr>
          <w:rFonts w:eastAsia="Times New Roman"/>
          <w:i/>
          <w:sz w:val="20"/>
          <w:szCs w:val="20"/>
        </w:rPr>
        <w:t>s</w:t>
      </w:r>
      <w:r w:rsidR="00C974E1">
        <w:rPr>
          <w:rFonts w:eastAsia="Times New Roman"/>
          <w:i/>
          <w:sz w:val="20"/>
          <w:szCs w:val="20"/>
        </w:rPr>
        <w:t xml:space="preserve"> in inactive state with </w:t>
      </w:r>
      <w:r w:rsidR="00622F07" w:rsidRPr="00A855D5">
        <w:rPr>
          <w:rFonts w:eastAsia="Times New Roman"/>
          <w:i/>
          <w:sz w:val="20"/>
          <w:szCs w:val="20"/>
        </w:rPr>
        <w:t>reduc</w:t>
      </w:r>
      <w:r w:rsidR="00622F07">
        <w:rPr>
          <w:rFonts w:eastAsia="Times New Roman"/>
          <w:i/>
          <w:sz w:val="20"/>
          <w:szCs w:val="20"/>
        </w:rPr>
        <w:t xml:space="preserve">tion of </w:t>
      </w:r>
      <w:r w:rsidR="001F015A" w:rsidRPr="00A2449D">
        <w:rPr>
          <w:rFonts w:eastAsia="Times New Roman"/>
          <w:i/>
          <w:sz w:val="20"/>
          <w:szCs w:val="20"/>
        </w:rPr>
        <w:t xml:space="preserve">latency </w:t>
      </w:r>
      <w:r w:rsidR="001F015A">
        <w:rPr>
          <w:rFonts w:eastAsia="Times New Roman"/>
          <w:i/>
          <w:sz w:val="20"/>
          <w:szCs w:val="20"/>
        </w:rPr>
        <w:t>and</w:t>
      </w:r>
      <w:r w:rsidR="00C974E1">
        <w:rPr>
          <w:rFonts w:eastAsia="Times New Roman"/>
          <w:i/>
          <w:sz w:val="20"/>
          <w:szCs w:val="20"/>
        </w:rPr>
        <w:t xml:space="preserve"> </w:t>
      </w:r>
      <w:r w:rsidR="00F427E0">
        <w:rPr>
          <w:rFonts w:eastAsia="Times New Roman"/>
          <w:i/>
          <w:sz w:val="20"/>
          <w:szCs w:val="20"/>
        </w:rPr>
        <w:t>battery</w:t>
      </w:r>
      <w:r w:rsidRPr="00A855D5">
        <w:rPr>
          <w:rFonts w:eastAsia="Times New Roman"/>
          <w:i/>
          <w:sz w:val="20"/>
          <w:szCs w:val="20"/>
        </w:rPr>
        <w:t xml:space="preserve"> </w:t>
      </w:r>
      <w:r>
        <w:rPr>
          <w:rFonts w:eastAsia="Times New Roman"/>
          <w:i/>
          <w:sz w:val="20"/>
          <w:szCs w:val="20"/>
        </w:rPr>
        <w:t xml:space="preserve">power consumption </w:t>
      </w:r>
      <w:r w:rsidRPr="00A855D5">
        <w:rPr>
          <w:rFonts w:eastAsia="Times New Roman"/>
          <w:i/>
          <w:sz w:val="20"/>
          <w:szCs w:val="20"/>
        </w:rPr>
        <w:t xml:space="preserve">in NTN application. </w:t>
      </w:r>
    </w:p>
    <w:p w14:paraId="43D16B3E" w14:textId="4AC0BF36" w:rsidR="00FA45B6" w:rsidRPr="00A2449D" w:rsidRDefault="00FA45B6" w:rsidP="00A2449D">
      <w:pPr>
        <w:pStyle w:val="Heading1"/>
        <w:numPr>
          <w:ilvl w:val="0"/>
          <w:numId w:val="2"/>
        </w:numPr>
        <w:spacing w:before="120"/>
        <w:ind w:left="0" w:firstLine="0"/>
        <w:rPr>
          <w:b/>
          <w:sz w:val="24"/>
          <w:lang w:eastAsia="ko-KR"/>
        </w:rPr>
      </w:pPr>
      <w:r w:rsidRPr="00A2449D">
        <w:rPr>
          <w:b/>
          <w:sz w:val="24"/>
          <w:lang w:eastAsia="ko-KR"/>
        </w:rPr>
        <w:t>Conclusion</w:t>
      </w:r>
    </w:p>
    <w:p w14:paraId="540BFD11" w14:textId="289C6E77" w:rsidR="00FA45B6" w:rsidRDefault="00D63CBD" w:rsidP="002B13C5">
      <w:pPr>
        <w:adjustRightInd w:val="0"/>
        <w:snapToGrid w:val="0"/>
        <w:spacing w:afterLines="50" w:after="156"/>
        <w:rPr>
          <w:sz w:val="20"/>
          <w:szCs w:val="20"/>
          <w:lang w:eastAsia="zh-CN"/>
        </w:rPr>
      </w:pPr>
      <w:r>
        <w:rPr>
          <w:sz w:val="20"/>
          <w:szCs w:val="20"/>
          <w:lang w:eastAsia="zh-CN"/>
        </w:rPr>
        <w:t>In this contribution, the benefits of introduction of NOMA together with 2-step RACH f</w:t>
      </w:r>
      <w:r w:rsidR="00B41D51">
        <w:rPr>
          <w:sz w:val="20"/>
          <w:szCs w:val="20"/>
          <w:lang w:eastAsia="zh-CN"/>
        </w:rPr>
        <w:t>or satellite communication</w:t>
      </w:r>
      <w:r w:rsidR="00F427E0">
        <w:rPr>
          <w:sz w:val="20"/>
          <w:szCs w:val="20"/>
          <w:lang w:eastAsia="zh-CN"/>
        </w:rPr>
        <w:t>, which require</w:t>
      </w:r>
      <w:r w:rsidR="00D831AE">
        <w:rPr>
          <w:sz w:val="20"/>
          <w:szCs w:val="20"/>
          <w:lang w:eastAsia="zh-CN"/>
        </w:rPr>
        <w:t>s</w:t>
      </w:r>
      <w:r w:rsidR="00F427E0">
        <w:rPr>
          <w:sz w:val="20"/>
          <w:szCs w:val="20"/>
          <w:lang w:eastAsia="zh-CN"/>
        </w:rPr>
        <w:t xml:space="preserve"> massive connectivity</w:t>
      </w:r>
      <w:r w:rsidR="00E4392E">
        <w:rPr>
          <w:sz w:val="20"/>
          <w:szCs w:val="20"/>
          <w:lang w:eastAsia="zh-CN"/>
        </w:rPr>
        <w:t xml:space="preserve"> and </w:t>
      </w:r>
      <w:r w:rsidR="00F427E0">
        <w:rPr>
          <w:sz w:val="20"/>
          <w:szCs w:val="20"/>
          <w:lang w:eastAsia="zh-CN"/>
        </w:rPr>
        <w:t>suffer</w:t>
      </w:r>
      <w:r w:rsidR="00B93508">
        <w:rPr>
          <w:sz w:val="20"/>
          <w:szCs w:val="20"/>
          <w:lang w:eastAsia="zh-CN"/>
        </w:rPr>
        <w:t>s</w:t>
      </w:r>
      <w:r w:rsidR="00F427E0">
        <w:rPr>
          <w:sz w:val="20"/>
          <w:szCs w:val="20"/>
          <w:lang w:eastAsia="zh-CN"/>
        </w:rPr>
        <w:t xml:space="preserve"> from </w:t>
      </w:r>
      <w:r w:rsidR="00E4392E">
        <w:rPr>
          <w:sz w:val="20"/>
          <w:szCs w:val="20"/>
          <w:lang w:eastAsia="zh-CN"/>
        </w:rPr>
        <w:t xml:space="preserve">large propagation </w:t>
      </w:r>
      <w:r w:rsidR="00FA45B6" w:rsidRPr="00A2449D">
        <w:rPr>
          <w:sz w:val="20"/>
          <w:szCs w:val="20"/>
          <w:lang w:eastAsia="zh-CN"/>
        </w:rPr>
        <w:t>delay</w:t>
      </w:r>
      <w:r w:rsidR="00E4392E">
        <w:rPr>
          <w:sz w:val="20"/>
          <w:szCs w:val="20"/>
          <w:lang w:eastAsia="zh-CN"/>
        </w:rPr>
        <w:t xml:space="preserve">, </w:t>
      </w:r>
      <w:r>
        <w:rPr>
          <w:sz w:val="20"/>
          <w:szCs w:val="20"/>
          <w:lang w:eastAsia="zh-CN"/>
        </w:rPr>
        <w:t>are justified with following observations,</w:t>
      </w:r>
    </w:p>
    <w:p w14:paraId="1B086184" w14:textId="77777777" w:rsidR="00D63CBD" w:rsidRDefault="00D63CBD" w:rsidP="002B13C5">
      <w:pPr>
        <w:adjustRightInd w:val="0"/>
        <w:snapToGrid w:val="0"/>
        <w:spacing w:afterLines="50" w:after="156"/>
        <w:rPr>
          <w:rFonts w:eastAsia="Times New Roman"/>
          <w:i/>
          <w:sz w:val="20"/>
          <w:szCs w:val="20"/>
        </w:rPr>
      </w:pPr>
      <w:r>
        <w:rPr>
          <w:rFonts w:eastAsia="Times New Roman"/>
          <w:b/>
          <w:i/>
          <w:sz w:val="20"/>
          <w:szCs w:val="20"/>
        </w:rPr>
        <w:t>Observation</w:t>
      </w:r>
      <w:r w:rsidRPr="00A855D5">
        <w:rPr>
          <w:rFonts w:eastAsia="Times New Roman"/>
          <w:b/>
          <w:i/>
          <w:sz w:val="20"/>
          <w:szCs w:val="20"/>
        </w:rPr>
        <w:t xml:space="preserve"> 1:</w:t>
      </w:r>
      <w:r w:rsidRPr="00A855D5">
        <w:rPr>
          <w:rFonts w:eastAsia="Times New Roman"/>
          <w:i/>
          <w:sz w:val="20"/>
          <w:szCs w:val="20"/>
        </w:rPr>
        <w:t xml:space="preserve"> </w:t>
      </w:r>
      <w:r>
        <w:rPr>
          <w:rFonts w:eastAsia="Times New Roman"/>
          <w:i/>
          <w:sz w:val="20"/>
          <w:szCs w:val="20"/>
        </w:rPr>
        <w:t>Supports of NOMA techniques is beneficial for NTN scenario.</w:t>
      </w:r>
      <w:r w:rsidRPr="00A855D5">
        <w:rPr>
          <w:rFonts w:eastAsia="Times New Roman"/>
          <w:i/>
          <w:sz w:val="20"/>
          <w:szCs w:val="20"/>
        </w:rPr>
        <w:t xml:space="preserve"> </w:t>
      </w:r>
    </w:p>
    <w:p w14:paraId="5984B436" w14:textId="77777777" w:rsidR="00D63CBD" w:rsidRDefault="00D63CBD" w:rsidP="002B13C5">
      <w:pPr>
        <w:adjustRightInd w:val="0"/>
        <w:snapToGrid w:val="0"/>
        <w:spacing w:afterLines="50" w:after="156"/>
        <w:rPr>
          <w:rFonts w:eastAsia="Times New Roman"/>
          <w:i/>
          <w:sz w:val="20"/>
          <w:szCs w:val="20"/>
        </w:rPr>
      </w:pPr>
      <w:r>
        <w:rPr>
          <w:rFonts w:eastAsia="Times New Roman"/>
          <w:b/>
          <w:i/>
          <w:sz w:val="20"/>
          <w:szCs w:val="20"/>
        </w:rPr>
        <w:t>Observation</w:t>
      </w:r>
      <w:r w:rsidRPr="00A855D5">
        <w:rPr>
          <w:rFonts w:eastAsia="Times New Roman"/>
          <w:b/>
          <w:i/>
          <w:sz w:val="20"/>
          <w:szCs w:val="20"/>
        </w:rPr>
        <w:t xml:space="preserve"> </w:t>
      </w:r>
      <w:r>
        <w:rPr>
          <w:rFonts w:eastAsia="Times New Roman"/>
          <w:b/>
          <w:i/>
          <w:sz w:val="20"/>
          <w:szCs w:val="20"/>
        </w:rPr>
        <w:t>2</w:t>
      </w:r>
      <w:r w:rsidRPr="00A855D5">
        <w:rPr>
          <w:rFonts w:eastAsia="Times New Roman"/>
          <w:b/>
          <w:i/>
          <w:sz w:val="20"/>
          <w:szCs w:val="20"/>
        </w:rPr>
        <w:t>:</w:t>
      </w:r>
      <w:r w:rsidRPr="00A855D5">
        <w:rPr>
          <w:rFonts w:eastAsia="Times New Roman"/>
          <w:i/>
          <w:sz w:val="20"/>
          <w:szCs w:val="20"/>
        </w:rPr>
        <w:t xml:space="preserve"> NOMA techniques</w:t>
      </w:r>
      <w:r>
        <w:rPr>
          <w:rFonts w:eastAsia="Times New Roman"/>
          <w:i/>
          <w:sz w:val="20"/>
          <w:szCs w:val="20"/>
        </w:rPr>
        <w:t xml:space="preserve"> together with 2-step RACH can </w:t>
      </w:r>
      <w:r w:rsidRPr="00A855D5">
        <w:rPr>
          <w:rFonts w:eastAsia="Times New Roman"/>
          <w:i/>
          <w:sz w:val="20"/>
          <w:szCs w:val="20"/>
        </w:rPr>
        <w:t>enabl</w:t>
      </w:r>
      <w:r>
        <w:rPr>
          <w:rFonts w:eastAsia="Times New Roman"/>
          <w:i/>
          <w:sz w:val="20"/>
          <w:szCs w:val="20"/>
        </w:rPr>
        <w:t>e</w:t>
      </w:r>
      <w:r w:rsidRPr="00A855D5">
        <w:rPr>
          <w:rFonts w:eastAsia="Times New Roman"/>
          <w:i/>
          <w:sz w:val="20"/>
          <w:szCs w:val="20"/>
        </w:rPr>
        <w:t xml:space="preserve"> </w:t>
      </w:r>
      <w:r>
        <w:rPr>
          <w:rFonts w:eastAsia="Times New Roman"/>
          <w:i/>
          <w:sz w:val="20"/>
          <w:szCs w:val="20"/>
        </w:rPr>
        <w:t>UL</w:t>
      </w:r>
      <w:r w:rsidRPr="00A855D5">
        <w:rPr>
          <w:rFonts w:eastAsia="Times New Roman"/>
          <w:i/>
          <w:sz w:val="20"/>
          <w:szCs w:val="20"/>
        </w:rPr>
        <w:t xml:space="preserve"> transmission </w:t>
      </w:r>
      <w:r>
        <w:rPr>
          <w:rFonts w:eastAsia="Times New Roman"/>
          <w:i/>
          <w:sz w:val="20"/>
          <w:szCs w:val="20"/>
        </w:rPr>
        <w:t xml:space="preserve">from massive UEs in inactive state with </w:t>
      </w:r>
      <w:r w:rsidRPr="00A855D5">
        <w:rPr>
          <w:rFonts w:eastAsia="Times New Roman"/>
          <w:i/>
          <w:sz w:val="20"/>
          <w:szCs w:val="20"/>
        </w:rPr>
        <w:t>reduc</w:t>
      </w:r>
      <w:r>
        <w:rPr>
          <w:rFonts w:eastAsia="Times New Roman"/>
          <w:i/>
          <w:sz w:val="20"/>
          <w:szCs w:val="20"/>
        </w:rPr>
        <w:t xml:space="preserve">tion of </w:t>
      </w:r>
      <w:r w:rsidRPr="00A2449D">
        <w:rPr>
          <w:rFonts w:eastAsia="Times New Roman"/>
          <w:i/>
          <w:sz w:val="20"/>
          <w:szCs w:val="20"/>
        </w:rPr>
        <w:t xml:space="preserve">latency </w:t>
      </w:r>
      <w:r>
        <w:rPr>
          <w:rFonts w:eastAsia="Times New Roman"/>
          <w:i/>
          <w:sz w:val="20"/>
          <w:szCs w:val="20"/>
        </w:rPr>
        <w:t>and battery</w:t>
      </w:r>
      <w:r w:rsidRPr="00A855D5">
        <w:rPr>
          <w:rFonts w:eastAsia="Times New Roman"/>
          <w:i/>
          <w:sz w:val="20"/>
          <w:szCs w:val="20"/>
        </w:rPr>
        <w:t xml:space="preserve"> </w:t>
      </w:r>
      <w:r>
        <w:rPr>
          <w:rFonts w:eastAsia="Times New Roman"/>
          <w:i/>
          <w:sz w:val="20"/>
          <w:szCs w:val="20"/>
        </w:rPr>
        <w:t xml:space="preserve">power consumption </w:t>
      </w:r>
      <w:r w:rsidRPr="00A855D5">
        <w:rPr>
          <w:rFonts w:eastAsia="Times New Roman"/>
          <w:i/>
          <w:sz w:val="20"/>
          <w:szCs w:val="20"/>
        </w:rPr>
        <w:t xml:space="preserve">in NTN application. </w:t>
      </w:r>
    </w:p>
    <w:p w14:paraId="0E228808" w14:textId="7009441A" w:rsidR="00E4392E" w:rsidRDefault="00E4392E" w:rsidP="002B13C5">
      <w:pPr>
        <w:adjustRightInd w:val="0"/>
        <w:snapToGrid w:val="0"/>
        <w:spacing w:afterLines="50" w:after="156"/>
        <w:rPr>
          <w:sz w:val="20"/>
          <w:szCs w:val="20"/>
          <w:lang w:eastAsia="zh-CN"/>
        </w:rPr>
      </w:pPr>
      <w:r w:rsidRPr="00A2449D">
        <w:rPr>
          <w:sz w:val="20"/>
          <w:szCs w:val="20"/>
          <w:lang w:eastAsia="zh-CN"/>
        </w:rPr>
        <w:t xml:space="preserve">Then, the proposal </w:t>
      </w:r>
      <w:r w:rsidR="00D63CBD">
        <w:rPr>
          <w:sz w:val="20"/>
          <w:szCs w:val="20"/>
          <w:lang w:eastAsia="zh-CN"/>
        </w:rPr>
        <w:t xml:space="preserve">below </w:t>
      </w:r>
      <w:r w:rsidRPr="00A2449D">
        <w:rPr>
          <w:sz w:val="20"/>
          <w:szCs w:val="20"/>
          <w:lang w:eastAsia="zh-CN"/>
        </w:rPr>
        <w:t>is highlighted:</w:t>
      </w:r>
    </w:p>
    <w:p w14:paraId="43D8C5EC" w14:textId="3339ABDE" w:rsidR="00D45005" w:rsidRDefault="00D45005" w:rsidP="002B13C5">
      <w:pPr>
        <w:adjustRightInd w:val="0"/>
        <w:snapToGrid w:val="0"/>
        <w:spacing w:afterLines="50" w:after="156"/>
        <w:rPr>
          <w:rFonts w:eastAsia="Times New Roman"/>
          <w:i/>
          <w:sz w:val="20"/>
          <w:szCs w:val="20"/>
        </w:rPr>
      </w:pPr>
      <w:r>
        <w:rPr>
          <w:rFonts w:eastAsia="Times New Roman"/>
          <w:b/>
          <w:i/>
          <w:sz w:val="20"/>
          <w:szCs w:val="20"/>
        </w:rPr>
        <w:t xml:space="preserve">Proposal </w:t>
      </w:r>
      <w:r w:rsidRPr="00A855D5">
        <w:rPr>
          <w:rFonts w:eastAsia="Times New Roman"/>
          <w:b/>
          <w:i/>
          <w:sz w:val="20"/>
          <w:szCs w:val="20"/>
        </w:rPr>
        <w:t>1:</w:t>
      </w:r>
      <w:r w:rsidRPr="00A855D5">
        <w:rPr>
          <w:rFonts w:eastAsia="Times New Roman"/>
          <w:i/>
          <w:sz w:val="20"/>
          <w:szCs w:val="20"/>
        </w:rPr>
        <w:t xml:space="preserve"> </w:t>
      </w:r>
      <w:r w:rsidR="0029277A" w:rsidRPr="00A855D5">
        <w:rPr>
          <w:rFonts w:eastAsia="Times New Roman"/>
          <w:i/>
          <w:sz w:val="20"/>
          <w:szCs w:val="20"/>
        </w:rPr>
        <w:t>NOMA techniques</w:t>
      </w:r>
      <w:r w:rsidR="0029277A">
        <w:rPr>
          <w:rFonts w:eastAsia="Times New Roman"/>
          <w:i/>
          <w:sz w:val="20"/>
          <w:szCs w:val="20"/>
        </w:rPr>
        <w:t xml:space="preserve"> together with 2-step RACH should be specified</w:t>
      </w:r>
      <w:r w:rsidR="004F5C5C">
        <w:rPr>
          <w:rFonts w:eastAsia="Times New Roman"/>
          <w:i/>
          <w:sz w:val="20"/>
          <w:szCs w:val="20"/>
        </w:rPr>
        <w:t xml:space="preserve"> in </w:t>
      </w:r>
      <w:r w:rsidR="008C7BEE">
        <w:rPr>
          <w:rFonts w:eastAsia="Times New Roman"/>
          <w:i/>
          <w:sz w:val="20"/>
          <w:szCs w:val="20"/>
        </w:rPr>
        <w:t xml:space="preserve">NOMA </w:t>
      </w:r>
      <w:r w:rsidR="004F5C5C">
        <w:rPr>
          <w:rFonts w:eastAsia="Times New Roman"/>
          <w:i/>
          <w:sz w:val="20"/>
          <w:szCs w:val="20"/>
        </w:rPr>
        <w:t>WID</w:t>
      </w:r>
      <w:r w:rsidR="0029277A">
        <w:rPr>
          <w:rFonts w:eastAsia="Times New Roman"/>
          <w:i/>
          <w:sz w:val="20"/>
          <w:szCs w:val="20"/>
        </w:rPr>
        <w:t>.</w:t>
      </w:r>
    </w:p>
    <w:p w14:paraId="6AF86351" w14:textId="77777777" w:rsidR="00602360" w:rsidRPr="006A3990" w:rsidRDefault="0067761F">
      <w:pPr>
        <w:pStyle w:val="Heading1"/>
        <w:numPr>
          <w:ilvl w:val="0"/>
          <w:numId w:val="0"/>
        </w:numPr>
        <w:spacing w:before="156" w:after="156"/>
        <w:jc w:val="both"/>
        <w:rPr>
          <w:rFonts w:ascii="Times New Roman" w:hAnsi="Times New Roman"/>
          <w:szCs w:val="28"/>
        </w:rPr>
      </w:pPr>
      <w:r w:rsidRPr="006A3990">
        <w:rPr>
          <w:rFonts w:ascii="Times New Roman" w:eastAsia="宋体" w:hAnsi="Times New Roman"/>
          <w:b/>
          <w:szCs w:val="28"/>
          <w:lang w:eastAsia="zh-CN"/>
        </w:rPr>
        <w:t>References</w:t>
      </w:r>
    </w:p>
    <w:p w14:paraId="6FD5C23E" w14:textId="5ED40784" w:rsidR="0028175D" w:rsidRPr="00DB3B97" w:rsidRDefault="0028175D" w:rsidP="0028175D">
      <w:pPr>
        <w:widowControl w:val="0"/>
        <w:numPr>
          <w:ilvl w:val="0"/>
          <w:numId w:val="17"/>
        </w:numPr>
        <w:snapToGrid w:val="0"/>
        <w:spacing w:after="0"/>
        <w:rPr>
          <w:sz w:val="20"/>
          <w:szCs w:val="20"/>
        </w:rPr>
      </w:pPr>
      <w:bookmarkStart w:id="2" w:name="_Ref322350683"/>
      <w:bookmarkStart w:id="3" w:name="_Ref352838604"/>
      <w:bookmarkStart w:id="4" w:name="_Ref530677928"/>
      <w:bookmarkStart w:id="5" w:name="_Ref521610625"/>
      <w:bookmarkStart w:id="6" w:name="_Ref528787071"/>
      <w:bookmarkStart w:id="7" w:name="_Ref458173888"/>
      <w:bookmarkStart w:id="8" w:name="_Ref458761547"/>
      <w:bookmarkStart w:id="9" w:name="_Ref462945662"/>
      <w:bookmarkEnd w:id="2"/>
      <w:bookmarkEnd w:id="3"/>
      <w:r w:rsidRPr="0028175D">
        <w:rPr>
          <w:sz w:val="20"/>
          <w:szCs w:val="20"/>
        </w:rPr>
        <w:t>3GPP T</w:t>
      </w:r>
      <w:r>
        <w:rPr>
          <w:sz w:val="20"/>
          <w:szCs w:val="20"/>
        </w:rPr>
        <w:t>R</w:t>
      </w:r>
      <w:r w:rsidRPr="0028175D">
        <w:rPr>
          <w:sz w:val="20"/>
          <w:szCs w:val="20"/>
        </w:rPr>
        <w:t xml:space="preserve"> 36.</w:t>
      </w:r>
      <w:r>
        <w:rPr>
          <w:sz w:val="20"/>
          <w:szCs w:val="20"/>
        </w:rPr>
        <w:t>812</w:t>
      </w:r>
      <w:r w:rsidRPr="0028175D">
        <w:rPr>
          <w:sz w:val="20"/>
          <w:szCs w:val="20"/>
        </w:rPr>
        <w:t xml:space="preserve">: </w:t>
      </w:r>
      <w:r w:rsidR="0000734B" w:rsidRPr="0028175D">
        <w:rPr>
          <w:sz w:val="20"/>
          <w:szCs w:val="20"/>
        </w:rPr>
        <w:t xml:space="preserve">"Technical Specification Group Radio Access Network; </w:t>
      </w:r>
      <w:r w:rsidR="0000734B">
        <w:rPr>
          <w:sz w:val="20"/>
          <w:szCs w:val="20"/>
        </w:rPr>
        <w:t xml:space="preserve">Study on Non-Orthogonal Multiple Access (NOMA) for NR </w:t>
      </w:r>
      <w:r w:rsidR="0000734B" w:rsidRPr="0028175D">
        <w:rPr>
          <w:sz w:val="20"/>
          <w:szCs w:val="20"/>
        </w:rPr>
        <w:t>(Release 1</w:t>
      </w:r>
      <w:r w:rsidR="0000734B">
        <w:rPr>
          <w:sz w:val="20"/>
          <w:szCs w:val="20"/>
        </w:rPr>
        <w:t>6</w:t>
      </w:r>
      <w:r w:rsidR="0000734B" w:rsidRPr="0028175D">
        <w:rPr>
          <w:sz w:val="20"/>
          <w:szCs w:val="20"/>
        </w:rPr>
        <w:t>)"</w:t>
      </w:r>
      <w:r w:rsidRPr="0028175D">
        <w:rPr>
          <w:sz w:val="20"/>
          <w:szCs w:val="20"/>
        </w:rPr>
        <w:t>.</w:t>
      </w:r>
      <w:bookmarkEnd w:id="4"/>
    </w:p>
    <w:p w14:paraId="3BF98E52" w14:textId="75330AD5" w:rsidR="0028175D" w:rsidRPr="0000734B" w:rsidRDefault="0000734B" w:rsidP="00DB3B97">
      <w:pPr>
        <w:widowControl w:val="0"/>
        <w:numPr>
          <w:ilvl w:val="0"/>
          <w:numId w:val="17"/>
        </w:numPr>
        <w:snapToGrid w:val="0"/>
        <w:spacing w:after="0"/>
        <w:rPr>
          <w:rFonts w:eastAsia="宋体"/>
          <w:sz w:val="20"/>
          <w:szCs w:val="20"/>
        </w:rPr>
      </w:pPr>
      <w:bookmarkStart w:id="10" w:name="_Ref530678022"/>
      <w:r w:rsidRPr="00DB3B97">
        <w:rPr>
          <w:rFonts w:eastAsia="宋体"/>
          <w:sz w:val="20"/>
          <w:szCs w:val="20"/>
        </w:rPr>
        <w:t xml:space="preserve">3GPP </w:t>
      </w:r>
      <w:hyperlink r:id="rId8" w:history="1">
        <w:r w:rsidRPr="00DB3B97">
          <w:rPr>
            <w:rFonts w:eastAsia="宋体"/>
            <w:sz w:val="20"/>
            <w:szCs w:val="20"/>
          </w:rPr>
          <w:t>R1-18</w:t>
        </w:r>
        <w:r>
          <w:rPr>
            <w:rFonts w:eastAsia="宋体"/>
            <w:sz w:val="20"/>
            <w:szCs w:val="20"/>
          </w:rPr>
          <w:t>13347</w:t>
        </w:r>
      </w:hyperlink>
      <w:r>
        <w:rPr>
          <w:rFonts w:eastAsia="宋体"/>
          <w:sz w:val="20"/>
          <w:szCs w:val="20"/>
        </w:rPr>
        <w:t xml:space="preserve">, </w:t>
      </w:r>
      <w:r w:rsidRPr="0000734B">
        <w:rPr>
          <w:rFonts w:eastAsia="宋体"/>
          <w:sz w:val="20"/>
          <w:szCs w:val="20"/>
        </w:rPr>
        <w:t>On the Benefit of NOMA for Non-Terrestrial Channels, Hughes, ZTE</w:t>
      </w:r>
      <w:bookmarkEnd w:id="10"/>
      <w:r w:rsidRPr="0000734B">
        <w:rPr>
          <w:rFonts w:eastAsia="宋体"/>
          <w:sz w:val="20"/>
          <w:szCs w:val="20"/>
        </w:rPr>
        <w:t>.</w:t>
      </w:r>
    </w:p>
    <w:p w14:paraId="1F46C97A" w14:textId="53FF4346" w:rsidR="0000734B" w:rsidRDefault="0000734B" w:rsidP="0000734B">
      <w:pPr>
        <w:widowControl w:val="0"/>
        <w:numPr>
          <w:ilvl w:val="0"/>
          <w:numId w:val="17"/>
        </w:numPr>
        <w:snapToGrid w:val="0"/>
        <w:spacing w:after="0"/>
        <w:rPr>
          <w:rFonts w:eastAsia="宋体"/>
          <w:sz w:val="20"/>
          <w:szCs w:val="20"/>
        </w:rPr>
      </w:pPr>
      <w:bookmarkStart w:id="11" w:name="_Ref530678078"/>
      <w:r w:rsidRPr="0000734B">
        <w:rPr>
          <w:rFonts w:eastAsia="宋体"/>
          <w:sz w:val="20"/>
          <w:szCs w:val="20"/>
        </w:rPr>
        <w:t>3GPP TR 3</w:t>
      </w:r>
      <w:r w:rsidR="00720284">
        <w:rPr>
          <w:rFonts w:eastAsia="宋体"/>
          <w:sz w:val="20"/>
          <w:szCs w:val="20"/>
        </w:rPr>
        <w:t>8</w:t>
      </w:r>
      <w:r w:rsidRPr="0000734B">
        <w:rPr>
          <w:rFonts w:eastAsia="宋体"/>
          <w:sz w:val="20"/>
          <w:szCs w:val="20"/>
        </w:rPr>
        <w:t xml:space="preserve">.811: "Technical Specification Group Radio Access Network; </w:t>
      </w:r>
      <w:r w:rsidRPr="0000734B">
        <w:rPr>
          <w:rFonts w:eastAsia="宋体" w:hint="eastAsia"/>
          <w:sz w:val="20"/>
          <w:szCs w:val="20"/>
        </w:rPr>
        <w:t xml:space="preserve">Study on </w:t>
      </w:r>
      <w:r w:rsidRPr="0000734B">
        <w:rPr>
          <w:rFonts w:eastAsia="宋体"/>
          <w:sz w:val="20"/>
          <w:szCs w:val="20"/>
        </w:rPr>
        <w:t xml:space="preserve">New Radio </w:t>
      </w:r>
      <w:r w:rsidRPr="0000734B">
        <w:rPr>
          <w:rFonts w:eastAsia="宋体" w:hint="eastAsia"/>
          <w:sz w:val="20"/>
          <w:szCs w:val="20"/>
        </w:rPr>
        <w:t xml:space="preserve">(NR) </w:t>
      </w:r>
      <w:r w:rsidRPr="0000734B">
        <w:rPr>
          <w:rFonts w:eastAsia="宋体"/>
          <w:sz w:val="20"/>
          <w:szCs w:val="20"/>
        </w:rPr>
        <w:t>to support non</w:t>
      </w:r>
      <w:r w:rsidR="006F03E6">
        <w:rPr>
          <w:rFonts w:eastAsia="宋体"/>
          <w:sz w:val="20"/>
          <w:szCs w:val="20"/>
        </w:rPr>
        <w:t>-</w:t>
      </w:r>
      <w:r w:rsidRPr="0000734B">
        <w:rPr>
          <w:rFonts w:eastAsia="宋体"/>
          <w:sz w:val="20"/>
          <w:szCs w:val="20"/>
        </w:rPr>
        <w:t>terrestrial networks (Release 15)</w:t>
      </w:r>
      <w:bookmarkEnd w:id="11"/>
    </w:p>
    <w:p w14:paraId="2BA69390" w14:textId="28019446" w:rsidR="00720284" w:rsidRPr="0000734B" w:rsidRDefault="00720284" w:rsidP="00720284">
      <w:pPr>
        <w:widowControl w:val="0"/>
        <w:numPr>
          <w:ilvl w:val="0"/>
          <w:numId w:val="17"/>
        </w:numPr>
        <w:snapToGrid w:val="0"/>
        <w:spacing w:after="0"/>
        <w:rPr>
          <w:rFonts w:eastAsia="宋体"/>
          <w:sz w:val="20"/>
          <w:szCs w:val="20"/>
        </w:rPr>
      </w:pPr>
      <w:r>
        <w:rPr>
          <w:rFonts w:eastAsia="宋体"/>
          <w:sz w:val="20"/>
          <w:szCs w:val="20"/>
        </w:rPr>
        <w:t>3GPP TR 38.821: “</w:t>
      </w:r>
      <w:r w:rsidRPr="00720284">
        <w:rPr>
          <w:rFonts w:eastAsia="宋体"/>
          <w:sz w:val="20"/>
          <w:szCs w:val="20"/>
        </w:rPr>
        <w:t>Technical Specification Group Radio Access Network; Solutions for NR to support non-terrestrial networks</w:t>
      </w:r>
      <w:r>
        <w:rPr>
          <w:rFonts w:eastAsia="宋体"/>
          <w:sz w:val="20"/>
          <w:szCs w:val="20"/>
        </w:rPr>
        <w:t xml:space="preserve"> (NTN) (Release 16)”</w:t>
      </w:r>
    </w:p>
    <w:p w14:paraId="42F62FBC" w14:textId="572BF292" w:rsidR="00DB3B97" w:rsidRPr="0000734B" w:rsidRDefault="00DB3B97" w:rsidP="00DB3B97">
      <w:pPr>
        <w:widowControl w:val="0"/>
        <w:numPr>
          <w:ilvl w:val="0"/>
          <w:numId w:val="17"/>
        </w:numPr>
        <w:snapToGrid w:val="0"/>
        <w:spacing w:after="0"/>
        <w:rPr>
          <w:rFonts w:eastAsia="宋体"/>
          <w:sz w:val="20"/>
          <w:szCs w:val="20"/>
        </w:rPr>
      </w:pPr>
      <w:bookmarkStart w:id="12" w:name="_Ref521655621"/>
      <w:bookmarkStart w:id="13" w:name="_Ref530678203"/>
      <w:bookmarkEnd w:id="5"/>
      <w:bookmarkEnd w:id="6"/>
      <w:r w:rsidRPr="00DB3B97">
        <w:rPr>
          <w:rFonts w:eastAsia="宋体"/>
          <w:sz w:val="20"/>
          <w:szCs w:val="20"/>
        </w:rPr>
        <w:t xml:space="preserve">3GPP </w:t>
      </w:r>
      <w:r w:rsidR="0000734B">
        <w:rPr>
          <w:rFonts w:eastAsia="宋体"/>
          <w:sz w:val="20"/>
          <w:szCs w:val="20"/>
        </w:rPr>
        <w:t>R2-1818510</w:t>
      </w:r>
      <w:r w:rsidRPr="00DB3B97">
        <w:rPr>
          <w:rFonts w:eastAsia="宋体"/>
          <w:sz w:val="20"/>
          <w:szCs w:val="20"/>
        </w:rPr>
        <w:t xml:space="preserve">, </w:t>
      </w:r>
      <w:r w:rsidR="0000734B" w:rsidRPr="0000734B">
        <w:rPr>
          <w:rFonts w:eastAsia="宋体"/>
          <w:sz w:val="20"/>
          <w:szCs w:val="20"/>
        </w:rPr>
        <w:t>Initial Random Access Procedure in Non-Terrestrial Networks (NTN)</w:t>
      </w:r>
      <w:r w:rsidRPr="00DB3B97">
        <w:rPr>
          <w:rFonts w:eastAsia="宋体"/>
          <w:sz w:val="20"/>
          <w:szCs w:val="20"/>
        </w:rPr>
        <w:t xml:space="preserve">, </w:t>
      </w:r>
      <w:bookmarkEnd w:id="7"/>
      <w:bookmarkEnd w:id="8"/>
      <w:bookmarkEnd w:id="9"/>
      <w:bookmarkEnd w:id="12"/>
      <w:proofErr w:type="spellStart"/>
      <w:r w:rsidR="0000734B" w:rsidRPr="0000734B">
        <w:rPr>
          <w:rFonts w:eastAsia="宋体"/>
          <w:sz w:val="20"/>
          <w:szCs w:val="20"/>
        </w:rPr>
        <w:t>Nomor</w:t>
      </w:r>
      <w:proofErr w:type="spellEnd"/>
      <w:r w:rsidR="0000734B" w:rsidRPr="0000734B">
        <w:rPr>
          <w:rFonts w:eastAsia="宋体"/>
          <w:sz w:val="20"/>
          <w:szCs w:val="20"/>
        </w:rPr>
        <w:t xml:space="preserve"> Research GmbH, Thales</w:t>
      </w:r>
      <w:bookmarkEnd w:id="13"/>
    </w:p>
    <w:p w14:paraId="56071B14" w14:textId="4097994C" w:rsidR="00602360" w:rsidRPr="00AD4A76" w:rsidRDefault="00602360" w:rsidP="00DB3B97">
      <w:pPr>
        <w:widowControl w:val="0"/>
        <w:spacing w:after="0"/>
        <w:jc w:val="both"/>
        <w:rPr>
          <w:sz w:val="20"/>
          <w:szCs w:val="20"/>
        </w:rPr>
      </w:pPr>
    </w:p>
    <w:sectPr w:rsidR="00602360" w:rsidRPr="00AD4A76">
      <w:footerReference w:type="default" r:id="rId9"/>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3E19E" w14:textId="77777777" w:rsidR="00E52C59" w:rsidRDefault="00E52C59">
      <w:pPr>
        <w:spacing w:after="0"/>
      </w:pPr>
      <w:r>
        <w:separator/>
      </w:r>
    </w:p>
  </w:endnote>
  <w:endnote w:type="continuationSeparator" w:id="0">
    <w:p w14:paraId="369B1694" w14:textId="77777777" w:rsidR="00E52C59" w:rsidRDefault="00E52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73EE5" w14:textId="062F561C" w:rsidR="00602360" w:rsidRDefault="0067761F">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B055C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F7F9E" w14:textId="77777777" w:rsidR="00E52C59" w:rsidRDefault="00E52C59">
      <w:pPr>
        <w:spacing w:after="0"/>
      </w:pPr>
      <w:r>
        <w:separator/>
      </w:r>
    </w:p>
  </w:footnote>
  <w:footnote w:type="continuationSeparator" w:id="0">
    <w:p w14:paraId="3273AA97" w14:textId="77777777" w:rsidR="00E52C59" w:rsidRDefault="00E52C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43809"/>
    <w:multiLevelType w:val="multilevel"/>
    <w:tmpl w:val="DBEEE1F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34E3A02"/>
    <w:multiLevelType w:val="multilevel"/>
    <w:tmpl w:val="548626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90E41B1"/>
    <w:multiLevelType w:val="hybridMultilevel"/>
    <w:tmpl w:val="D6C4ADB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764F54"/>
    <w:multiLevelType w:val="multilevel"/>
    <w:tmpl w:val="30764F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2A2ECC"/>
    <w:multiLevelType w:val="multilevel"/>
    <w:tmpl w:val="224C39BE"/>
    <w:lvl w:ilvl="0">
      <w:start w:val="5"/>
      <w:numFmt w:val="decimal"/>
      <w:lvlText w:val="%1."/>
      <w:lvlJc w:val="left"/>
      <w:pPr>
        <w:ind w:left="540" w:hanging="360"/>
      </w:pPr>
      <w:rPr>
        <w:rFonts w:eastAsia="宋体"/>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450B74C8"/>
    <w:multiLevelType w:val="hybridMultilevel"/>
    <w:tmpl w:val="D6842018"/>
    <w:lvl w:ilvl="0" w:tplc="89DEA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463A2A"/>
    <w:multiLevelType w:val="hybridMultilevel"/>
    <w:tmpl w:val="1B68AE8A"/>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910330F"/>
    <w:multiLevelType w:val="hybridMultilevel"/>
    <w:tmpl w:val="09160676"/>
    <w:lvl w:ilvl="0" w:tplc="0D2C97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EE6B53"/>
    <w:multiLevelType w:val="hybridMultilevel"/>
    <w:tmpl w:val="1B68B9F2"/>
    <w:lvl w:ilvl="0" w:tplc="35A69282">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D114513"/>
    <w:multiLevelType w:val="multilevel"/>
    <w:tmpl w:val="BF5E1EBC"/>
    <w:lvl w:ilvl="0">
      <w:start w:val="1"/>
      <w:numFmt w:val="decimal"/>
      <w:lvlText w:val="%1."/>
      <w:lvlJc w:val="left"/>
      <w:pPr>
        <w:tabs>
          <w:tab w:val="num" w:pos="605"/>
        </w:tabs>
        <w:ind w:left="605" w:hanging="425"/>
      </w:pPr>
      <w:rPr>
        <w:b/>
        <w:sz w:val="28"/>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5C766D51"/>
    <w:multiLevelType w:val="hybridMultilevel"/>
    <w:tmpl w:val="0BA4F5B8"/>
    <w:lvl w:ilvl="0" w:tplc="35A69282">
      <w:start w:val="1"/>
      <w:numFmt w:val="bullet"/>
      <w:lvlText w:val="•"/>
      <w:lvlJc w:val="left"/>
      <w:pPr>
        <w:ind w:left="840" w:hanging="420"/>
      </w:pPr>
      <w:rPr>
        <w:rFonts w:ascii="Arial" w:hAnsi="Arial"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51F1854"/>
    <w:multiLevelType w:val="multilevel"/>
    <w:tmpl w:val="F95A9BC6"/>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3" w15:restartNumberingAfterBreak="0">
    <w:nsid w:val="7B042842"/>
    <w:multiLevelType w:val="multilevel"/>
    <w:tmpl w:val="BF5E1EBC"/>
    <w:lvl w:ilvl="0">
      <w:start w:val="1"/>
      <w:numFmt w:val="decimal"/>
      <w:lvlText w:val="%1."/>
      <w:lvlJc w:val="left"/>
      <w:pPr>
        <w:tabs>
          <w:tab w:val="num" w:pos="605"/>
        </w:tabs>
        <w:ind w:left="605" w:hanging="425"/>
      </w:pPr>
      <w:rPr>
        <w:b/>
        <w:sz w:val="28"/>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10"/>
  </w:num>
  <w:num w:numId="3">
    <w:abstractNumId w:val="12"/>
  </w:num>
  <w:num w:numId="4">
    <w:abstractNumId w:val="5"/>
  </w:num>
  <w:num w:numId="5">
    <w:abstractNumId w:val="13"/>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num>
  <w:num w:numId="10">
    <w:abstractNumId w:val="1"/>
  </w:num>
  <w:num w:numId="11">
    <w:abstractNumId w:val="6"/>
  </w:num>
  <w:num w:numId="12">
    <w:abstractNumId w:val="7"/>
  </w:num>
  <w:num w:numId="13">
    <w:abstractNumId w:val="3"/>
  </w:num>
  <w:num w:numId="14">
    <w:abstractNumId w:val="8"/>
  </w:num>
  <w:num w:numId="15">
    <w:abstractNumId w:val="9"/>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60"/>
    <w:rsid w:val="0000734B"/>
    <w:rsid w:val="00012565"/>
    <w:rsid w:val="000146D9"/>
    <w:rsid w:val="00035F95"/>
    <w:rsid w:val="00041A6C"/>
    <w:rsid w:val="00041BAD"/>
    <w:rsid w:val="00046670"/>
    <w:rsid w:val="000542B6"/>
    <w:rsid w:val="00056030"/>
    <w:rsid w:val="00095E01"/>
    <w:rsid w:val="000A0F27"/>
    <w:rsid w:val="000A4145"/>
    <w:rsid w:val="000A61B8"/>
    <w:rsid w:val="000C3592"/>
    <w:rsid w:val="000F6689"/>
    <w:rsid w:val="001120F0"/>
    <w:rsid w:val="001160BF"/>
    <w:rsid w:val="00156DEF"/>
    <w:rsid w:val="00175FBC"/>
    <w:rsid w:val="001A1BEF"/>
    <w:rsid w:val="001A3C0B"/>
    <w:rsid w:val="001A7BB6"/>
    <w:rsid w:val="001B3232"/>
    <w:rsid w:val="001F015A"/>
    <w:rsid w:val="001F7FE4"/>
    <w:rsid w:val="00222D0E"/>
    <w:rsid w:val="0024034E"/>
    <w:rsid w:val="002609EB"/>
    <w:rsid w:val="00260AE0"/>
    <w:rsid w:val="0028175D"/>
    <w:rsid w:val="0029277A"/>
    <w:rsid w:val="002A0DFD"/>
    <w:rsid w:val="002B02FC"/>
    <w:rsid w:val="002B13C5"/>
    <w:rsid w:val="002C31B9"/>
    <w:rsid w:val="002D4FAF"/>
    <w:rsid w:val="002D79EE"/>
    <w:rsid w:val="00316C7B"/>
    <w:rsid w:val="00341B95"/>
    <w:rsid w:val="00345FA7"/>
    <w:rsid w:val="003467F2"/>
    <w:rsid w:val="00361EE9"/>
    <w:rsid w:val="00384E21"/>
    <w:rsid w:val="00397AD4"/>
    <w:rsid w:val="003A4CB9"/>
    <w:rsid w:val="003D6E23"/>
    <w:rsid w:val="004010B7"/>
    <w:rsid w:val="004158E2"/>
    <w:rsid w:val="00435AA7"/>
    <w:rsid w:val="00441F54"/>
    <w:rsid w:val="004443D5"/>
    <w:rsid w:val="00465270"/>
    <w:rsid w:val="00470C03"/>
    <w:rsid w:val="00481501"/>
    <w:rsid w:val="00490583"/>
    <w:rsid w:val="00494CBF"/>
    <w:rsid w:val="004C0987"/>
    <w:rsid w:val="004C4DC8"/>
    <w:rsid w:val="004D1762"/>
    <w:rsid w:val="004F5C5C"/>
    <w:rsid w:val="0052025F"/>
    <w:rsid w:val="005208EB"/>
    <w:rsid w:val="00541260"/>
    <w:rsid w:val="00544C99"/>
    <w:rsid w:val="00572DFA"/>
    <w:rsid w:val="005B0071"/>
    <w:rsid w:val="005D3FA4"/>
    <w:rsid w:val="005F5ADF"/>
    <w:rsid w:val="00600CBE"/>
    <w:rsid w:val="00602360"/>
    <w:rsid w:val="00622F07"/>
    <w:rsid w:val="006363C8"/>
    <w:rsid w:val="006372A6"/>
    <w:rsid w:val="006452D7"/>
    <w:rsid w:val="00655A14"/>
    <w:rsid w:val="00656D51"/>
    <w:rsid w:val="00661F6C"/>
    <w:rsid w:val="00663913"/>
    <w:rsid w:val="006647F5"/>
    <w:rsid w:val="0067677C"/>
    <w:rsid w:val="0067761F"/>
    <w:rsid w:val="00691564"/>
    <w:rsid w:val="0069341E"/>
    <w:rsid w:val="00697B4B"/>
    <w:rsid w:val="006A3990"/>
    <w:rsid w:val="006B0E7A"/>
    <w:rsid w:val="006C595B"/>
    <w:rsid w:val="006D602C"/>
    <w:rsid w:val="006F03E6"/>
    <w:rsid w:val="00715792"/>
    <w:rsid w:val="00720284"/>
    <w:rsid w:val="00755F8A"/>
    <w:rsid w:val="0075785A"/>
    <w:rsid w:val="007706EE"/>
    <w:rsid w:val="007A1644"/>
    <w:rsid w:val="007A439F"/>
    <w:rsid w:val="007A71BE"/>
    <w:rsid w:val="007B2432"/>
    <w:rsid w:val="007B2587"/>
    <w:rsid w:val="007C2B06"/>
    <w:rsid w:val="007D50ED"/>
    <w:rsid w:val="008066DC"/>
    <w:rsid w:val="00815333"/>
    <w:rsid w:val="00824FED"/>
    <w:rsid w:val="00825609"/>
    <w:rsid w:val="0083143D"/>
    <w:rsid w:val="008364FD"/>
    <w:rsid w:val="0084176A"/>
    <w:rsid w:val="00851831"/>
    <w:rsid w:val="00851D1C"/>
    <w:rsid w:val="0085617E"/>
    <w:rsid w:val="0086227E"/>
    <w:rsid w:val="00871971"/>
    <w:rsid w:val="008B3DC4"/>
    <w:rsid w:val="008C69B7"/>
    <w:rsid w:val="008C7BEE"/>
    <w:rsid w:val="008D4F64"/>
    <w:rsid w:val="008D6C51"/>
    <w:rsid w:val="008E0378"/>
    <w:rsid w:val="00905188"/>
    <w:rsid w:val="009058F7"/>
    <w:rsid w:val="00932FEF"/>
    <w:rsid w:val="00942E90"/>
    <w:rsid w:val="00983660"/>
    <w:rsid w:val="009B1DBD"/>
    <w:rsid w:val="009C50C3"/>
    <w:rsid w:val="009D12D0"/>
    <w:rsid w:val="009D3749"/>
    <w:rsid w:val="009E5BEC"/>
    <w:rsid w:val="009E74A9"/>
    <w:rsid w:val="009F4D32"/>
    <w:rsid w:val="00A07E92"/>
    <w:rsid w:val="00A16D1A"/>
    <w:rsid w:val="00A21D8D"/>
    <w:rsid w:val="00A2449D"/>
    <w:rsid w:val="00A41B83"/>
    <w:rsid w:val="00A45290"/>
    <w:rsid w:val="00A512B1"/>
    <w:rsid w:val="00A64B72"/>
    <w:rsid w:val="00A671E6"/>
    <w:rsid w:val="00A76B42"/>
    <w:rsid w:val="00A80917"/>
    <w:rsid w:val="00A81063"/>
    <w:rsid w:val="00A8121B"/>
    <w:rsid w:val="00A83635"/>
    <w:rsid w:val="00AD4A76"/>
    <w:rsid w:val="00B055B4"/>
    <w:rsid w:val="00B055C8"/>
    <w:rsid w:val="00B17CDB"/>
    <w:rsid w:val="00B2104C"/>
    <w:rsid w:val="00B328B7"/>
    <w:rsid w:val="00B41D51"/>
    <w:rsid w:val="00B446BF"/>
    <w:rsid w:val="00B675D6"/>
    <w:rsid w:val="00B90F94"/>
    <w:rsid w:val="00B93508"/>
    <w:rsid w:val="00BC39A8"/>
    <w:rsid w:val="00BD431B"/>
    <w:rsid w:val="00BD4B2C"/>
    <w:rsid w:val="00BF404D"/>
    <w:rsid w:val="00BF578E"/>
    <w:rsid w:val="00BF6AC7"/>
    <w:rsid w:val="00BF7C24"/>
    <w:rsid w:val="00C04067"/>
    <w:rsid w:val="00C1313B"/>
    <w:rsid w:val="00C300E9"/>
    <w:rsid w:val="00C30C40"/>
    <w:rsid w:val="00C36DDE"/>
    <w:rsid w:val="00C40B1B"/>
    <w:rsid w:val="00C51001"/>
    <w:rsid w:val="00C6211A"/>
    <w:rsid w:val="00C843C6"/>
    <w:rsid w:val="00C974E1"/>
    <w:rsid w:val="00CE5CBB"/>
    <w:rsid w:val="00D00DD9"/>
    <w:rsid w:val="00D30B09"/>
    <w:rsid w:val="00D344D6"/>
    <w:rsid w:val="00D45005"/>
    <w:rsid w:val="00D56ED8"/>
    <w:rsid w:val="00D6190F"/>
    <w:rsid w:val="00D63CBD"/>
    <w:rsid w:val="00D71BA3"/>
    <w:rsid w:val="00D72492"/>
    <w:rsid w:val="00D831AE"/>
    <w:rsid w:val="00D903C2"/>
    <w:rsid w:val="00DA5FD5"/>
    <w:rsid w:val="00DB3B97"/>
    <w:rsid w:val="00DF7E09"/>
    <w:rsid w:val="00E00D18"/>
    <w:rsid w:val="00E27262"/>
    <w:rsid w:val="00E31D9B"/>
    <w:rsid w:val="00E4392E"/>
    <w:rsid w:val="00E46793"/>
    <w:rsid w:val="00E52C59"/>
    <w:rsid w:val="00E6707C"/>
    <w:rsid w:val="00E73516"/>
    <w:rsid w:val="00E8696C"/>
    <w:rsid w:val="00EE6796"/>
    <w:rsid w:val="00F02824"/>
    <w:rsid w:val="00F12536"/>
    <w:rsid w:val="00F32900"/>
    <w:rsid w:val="00F41BF7"/>
    <w:rsid w:val="00F427E0"/>
    <w:rsid w:val="00F67F06"/>
    <w:rsid w:val="00F74442"/>
    <w:rsid w:val="00FA45B6"/>
    <w:rsid w:val="00FC5516"/>
    <w:rsid w:val="00FC7C8B"/>
    <w:rsid w:val="00FE33E6"/>
    <w:rsid w:val="00FF3DF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2D2F5"/>
  <w15:docId w15:val="{104AA310-AF6C-4A30-BCA6-CE4A64CB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pPr>
      <w:spacing w:after="158"/>
    </w:pPr>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宋体"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宋体"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宋体"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character" w:customStyle="1" w:styleId="ListLabel68">
    <w:name w:val="ListLabel 68"/>
    <w:qFormat/>
    <w:rPr>
      <w:sz w:val="24"/>
      <w:szCs w:val="28"/>
    </w:rPr>
  </w:style>
  <w:style w:type="character" w:customStyle="1" w:styleId="ListLabel69">
    <w:name w:val="ListLabel 69"/>
    <w:qFormat/>
    <w:rPr>
      <w:b/>
      <w:sz w:val="24"/>
      <w:szCs w:val="28"/>
    </w:rPr>
  </w:style>
  <w:style w:type="character" w:customStyle="1" w:styleId="ListLabel70">
    <w:name w:val="ListLabel 70"/>
    <w:qFormat/>
    <w:rPr>
      <w:b/>
      <w:sz w:val="24"/>
      <w:szCs w:val="28"/>
    </w:rPr>
  </w:style>
  <w:style w:type="character" w:customStyle="1" w:styleId="ListLabel71">
    <w:name w:val="ListLabel 71"/>
    <w:qFormat/>
    <w:rPr>
      <w:rFonts w:eastAsia="Times New Roman"/>
      <w:sz w:val="20"/>
      <w:lang w:val="it-IT"/>
    </w:rPr>
  </w:style>
  <w:style w:type="character" w:customStyle="1" w:styleId="ListLabel72">
    <w:name w:val="ListLabel 72"/>
    <w:qFormat/>
    <w:rPr>
      <w:sz w:val="24"/>
      <w:szCs w:val="28"/>
    </w:rPr>
  </w:style>
  <w:style w:type="character" w:customStyle="1" w:styleId="ListLabel73">
    <w:name w:val="ListLabel 73"/>
    <w:qFormat/>
    <w:rPr>
      <w:b/>
      <w:sz w:val="24"/>
      <w:szCs w:val="28"/>
    </w:rPr>
  </w:style>
  <w:style w:type="character" w:customStyle="1" w:styleId="ListLabel74">
    <w:name w:val="ListLabel 74"/>
    <w:qFormat/>
    <w:rPr>
      <w:b/>
      <w:sz w:val="24"/>
      <w:szCs w:val="28"/>
    </w:rPr>
  </w:style>
  <w:style w:type="character" w:customStyle="1" w:styleId="ListLabel75">
    <w:name w:val="ListLabel 75"/>
    <w:qFormat/>
    <w:rPr>
      <w:rFonts w:eastAsia="Times New Roman"/>
      <w:sz w:val="20"/>
      <w:lang w:val="it-IT"/>
    </w:rPr>
  </w:style>
  <w:style w:type="character" w:customStyle="1" w:styleId="ListLabel76">
    <w:name w:val="ListLabel 76"/>
    <w:qFormat/>
    <w:rPr>
      <w:sz w:val="24"/>
      <w:szCs w:val="28"/>
    </w:rPr>
  </w:style>
  <w:style w:type="character" w:customStyle="1" w:styleId="ListLabel77">
    <w:name w:val="ListLabel 77"/>
    <w:qFormat/>
    <w:rPr>
      <w:b/>
      <w:sz w:val="24"/>
      <w:szCs w:val="28"/>
    </w:rPr>
  </w:style>
  <w:style w:type="character" w:customStyle="1" w:styleId="ListLabel78">
    <w:name w:val="ListLabel 78"/>
    <w:qFormat/>
    <w:rPr>
      <w:b/>
      <w:sz w:val="24"/>
      <w:szCs w:val="28"/>
    </w:rPr>
  </w:style>
  <w:style w:type="character" w:customStyle="1" w:styleId="ListLabel79">
    <w:name w:val="ListLabel 79"/>
    <w:qFormat/>
    <w:rPr>
      <w:rFonts w:eastAsia="Times New Roman"/>
      <w:sz w:val="20"/>
      <w:lang w:val="it-IT"/>
    </w:rPr>
  </w:style>
  <w:style w:type="character" w:customStyle="1" w:styleId="ListLabel80">
    <w:name w:val="ListLabel 80"/>
    <w:qFormat/>
    <w:rPr>
      <w:sz w:val="24"/>
      <w:szCs w:val="28"/>
    </w:rPr>
  </w:style>
  <w:style w:type="character" w:customStyle="1" w:styleId="ListLabel81">
    <w:name w:val="ListLabel 81"/>
    <w:qFormat/>
    <w:rPr>
      <w:b/>
      <w:sz w:val="24"/>
      <w:szCs w:val="28"/>
    </w:rPr>
  </w:style>
  <w:style w:type="character" w:customStyle="1" w:styleId="ListLabel82">
    <w:name w:val="ListLabel 82"/>
    <w:qFormat/>
    <w:rPr>
      <w:b/>
      <w:sz w:val="24"/>
      <w:szCs w:val="28"/>
    </w:rPr>
  </w:style>
  <w:style w:type="character" w:customStyle="1" w:styleId="ListLabel83">
    <w:name w:val="ListLabel 83"/>
    <w:qFormat/>
    <w:rPr>
      <w:rFonts w:eastAsia="Times New Roman"/>
      <w:sz w:val="20"/>
      <w:lang w:val="it-IT"/>
    </w:rPr>
  </w:style>
  <w:style w:type="character" w:customStyle="1" w:styleId="ListLabel84">
    <w:name w:val="ListLabel 84"/>
    <w:qFormat/>
    <w:rPr>
      <w:sz w:val="24"/>
      <w:szCs w:val="28"/>
    </w:rPr>
  </w:style>
  <w:style w:type="character" w:customStyle="1" w:styleId="ListLabel85">
    <w:name w:val="ListLabel 85"/>
    <w:qFormat/>
    <w:rPr>
      <w:b/>
      <w:sz w:val="24"/>
      <w:szCs w:val="28"/>
    </w:rPr>
  </w:style>
  <w:style w:type="character" w:customStyle="1" w:styleId="ListLabel86">
    <w:name w:val="ListLabel 86"/>
    <w:qFormat/>
    <w:rPr>
      <w:b/>
      <w:sz w:val="24"/>
      <w:szCs w:val="28"/>
    </w:rPr>
  </w:style>
  <w:style w:type="character" w:customStyle="1" w:styleId="ListLabel87">
    <w:name w:val="ListLabel 87"/>
    <w:qFormat/>
    <w:rPr>
      <w:rFonts w:eastAsia="Times New Roman"/>
      <w:sz w:val="20"/>
      <w:lang w:val="it-IT"/>
    </w:rPr>
  </w:style>
  <w:style w:type="character" w:customStyle="1" w:styleId="ListLabel88">
    <w:name w:val="ListLabel 88"/>
    <w:qFormat/>
    <w:rPr>
      <w:rFonts w:eastAsia="宋体"/>
      <w:b/>
    </w:rPr>
  </w:style>
  <w:style w:type="character" w:customStyle="1" w:styleId="ListLabel89">
    <w:name w:val="ListLabel 89"/>
    <w:qFormat/>
    <w:rPr>
      <w:sz w:val="24"/>
      <w:szCs w:val="28"/>
    </w:rPr>
  </w:style>
  <w:style w:type="character" w:customStyle="1" w:styleId="ListLabel90">
    <w:name w:val="ListLabel 90"/>
    <w:qFormat/>
    <w:rPr>
      <w:b/>
      <w:sz w:val="24"/>
      <w:szCs w:val="28"/>
    </w:rPr>
  </w:style>
  <w:style w:type="character" w:customStyle="1" w:styleId="ListLabel91">
    <w:name w:val="ListLabel 91"/>
    <w:qFormat/>
    <w:rPr>
      <w:b/>
      <w:sz w:val="24"/>
      <w:szCs w:val="28"/>
    </w:rPr>
  </w:style>
  <w:style w:type="character" w:customStyle="1" w:styleId="ListLabel92">
    <w:name w:val="ListLabel 92"/>
    <w:qFormat/>
    <w:rPr>
      <w:rFonts w:eastAsia="Times New Roman"/>
      <w:sz w:val="20"/>
      <w:lang w:val="it-IT"/>
    </w:rPr>
  </w:style>
  <w:style w:type="character" w:customStyle="1" w:styleId="ListLabel93">
    <w:name w:val="ListLabel 93"/>
    <w:qFormat/>
    <w:rPr>
      <w:rFonts w:eastAsia="宋体"/>
      <w:b/>
    </w:rPr>
  </w:style>
  <w:style w:type="character" w:customStyle="1" w:styleId="ListLabel94">
    <w:name w:val="ListLabel 94"/>
    <w:qFormat/>
    <w:rPr>
      <w:sz w:val="24"/>
      <w:szCs w:val="28"/>
    </w:rPr>
  </w:style>
  <w:style w:type="character" w:customStyle="1" w:styleId="ListLabel95">
    <w:name w:val="ListLabel 95"/>
    <w:qFormat/>
    <w:rPr>
      <w:b/>
      <w:sz w:val="24"/>
      <w:szCs w:val="28"/>
    </w:rPr>
  </w:style>
  <w:style w:type="character" w:customStyle="1" w:styleId="ListLabel96">
    <w:name w:val="ListLabel 96"/>
    <w:qFormat/>
    <w:rPr>
      <w:b/>
      <w:sz w:val="24"/>
      <w:szCs w:val="28"/>
    </w:rPr>
  </w:style>
  <w:style w:type="character" w:customStyle="1" w:styleId="ListLabel97">
    <w:name w:val="ListLabel 97"/>
    <w:qFormat/>
    <w:rPr>
      <w:rFonts w:eastAsia="Times New Roman"/>
      <w:sz w:val="20"/>
      <w:lang w:val="it-IT"/>
    </w:rPr>
  </w:style>
  <w:style w:type="character" w:customStyle="1" w:styleId="ListLabel98">
    <w:name w:val="ListLabel 98"/>
    <w:qFormat/>
    <w:rPr>
      <w:rFonts w:eastAsia="宋体"/>
      <w:b/>
    </w:rPr>
  </w:style>
  <w:style w:type="character" w:customStyle="1" w:styleId="ListLabel99">
    <w:name w:val="ListLabel 99"/>
    <w:qFormat/>
    <w:rPr>
      <w:sz w:val="24"/>
      <w:szCs w:val="28"/>
    </w:rPr>
  </w:style>
  <w:style w:type="character" w:customStyle="1" w:styleId="ListLabel100">
    <w:name w:val="ListLabel 100"/>
    <w:qFormat/>
    <w:rPr>
      <w:b/>
      <w:sz w:val="24"/>
      <w:szCs w:val="28"/>
    </w:rPr>
  </w:style>
  <w:style w:type="character" w:customStyle="1" w:styleId="ListLabel101">
    <w:name w:val="ListLabel 101"/>
    <w:qFormat/>
    <w:rPr>
      <w:b/>
      <w:sz w:val="24"/>
      <w:szCs w:val="28"/>
    </w:rPr>
  </w:style>
  <w:style w:type="character" w:customStyle="1" w:styleId="ListLabel102">
    <w:name w:val="ListLabel 102"/>
    <w:qFormat/>
    <w:rPr>
      <w:rFonts w:eastAsia="Times New Roman"/>
      <w:sz w:val="20"/>
      <w:lang w:val="it-IT"/>
    </w:rPr>
  </w:style>
  <w:style w:type="character" w:customStyle="1" w:styleId="ListLabel103">
    <w:name w:val="ListLabel 103"/>
    <w:qFormat/>
    <w:rPr>
      <w:rFonts w:eastAsia="宋体"/>
      <w:b/>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jc w:val="center"/>
    </w:pPr>
    <w:rPr>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qFormat/>
    <w:pPr>
      <w:suppressLineNumbers/>
      <w:ind w:left="339" w:hanging="339"/>
    </w:pPr>
    <w:rPr>
      <w:sz w:val="20"/>
      <w:szCs w:val="20"/>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after="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宋体"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宋体"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宋体"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宋体"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宋体"/>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paragraph" w:customStyle="1" w:styleId="Figure">
    <w:name w:val="Figure"/>
    <w:basedOn w:val="Caption"/>
    <w:qFormat/>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ListParagraph1">
    <w:name w:val="List Paragraph1"/>
    <w:basedOn w:val="Normal"/>
    <w:uiPriority w:val="99"/>
    <w:unhideWhenUsed/>
    <w:qFormat/>
    <w:rsid w:val="00DB3B97"/>
    <w:pPr>
      <w:spacing w:after="200" w:line="276" w:lineRule="auto"/>
      <w:ind w:firstLineChars="200" w:firstLine="420"/>
    </w:pPr>
    <w:rPr>
      <w:rFonts w:ascii="Calibri" w:eastAsiaTheme="minorEastAsia" w:hAnsi="Calibri"/>
      <w:color w:val="auto"/>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983555">
      <w:bodyDiv w:val="1"/>
      <w:marLeft w:val="0"/>
      <w:marRight w:val="0"/>
      <w:marTop w:val="0"/>
      <w:marBottom w:val="0"/>
      <w:divBdr>
        <w:top w:val="none" w:sz="0" w:space="0" w:color="auto"/>
        <w:left w:val="none" w:sz="0" w:space="0" w:color="auto"/>
        <w:bottom w:val="none" w:sz="0" w:space="0" w:color="auto"/>
        <w:right w:val="none" w:sz="0" w:space="0" w:color="auto"/>
      </w:divBdr>
    </w:div>
    <w:div w:id="1280381698">
      <w:bodyDiv w:val="1"/>
      <w:marLeft w:val="0"/>
      <w:marRight w:val="0"/>
      <w:marTop w:val="0"/>
      <w:marBottom w:val="0"/>
      <w:divBdr>
        <w:top w:val="none" w:sz="0" w:space="0" w:color="auto"/>
        <w:left w:val="none" w:sz="0" w:space="0" w:color="auto"/>
        <w:bottom w:val="none" w:sz="0" w:space="0" w:color="auto"/>
        <w:right w:val="none" w:sz="0" w:space="0" w:color="auto"/>
      </w:divBdr>
    </w:div>
    <w:div w:id="2045400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NewRAN\5g\Standard\Alll_Meeting\RAN1%2394\Inbox\R1-180815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A13F6-36F8-4BAD-8CAF-7B86CCC03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875</Words>
  <Characters>4992</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Echostar</Company>
  <LinksUpToDate>false</LinksUpToDate>
  <CharactersWithSpaces>5856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crossover</dc:creator>
  <dc:description/>
  <cp:lastModifiedBy>ZTE</cp:lastModifiedBy>
  <cp:revision>11</cp:revision>
  <cp:lastPrinted>2018-02-12T14:30:00Z</cp:lastPrinted>
  <dcterms:created xsi:type="dcterms:W3CDTF">2018-11-28T16:47:00Z</dcterms:created>
  <dcterms:modified xsi:type="dcterms:W3CDTF">2018-12-03T02:09:00Z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